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A45C1" w14:textId="77777777" w:rsidR="00E7226C" w:rsidRDefault="00F46DB7">
      <w:pPr>
        <w:spacing w:after="0" w:line="240" w:lineRule="auto"/>
        <w:jc w:val="center"/>
        <w:rPr>
          <w:rFonts w:ascii="Times New Roman" w:eastAsia="Times New Roman" w:hAnsi="Times New Roman" w:cs="Times New Roman"/>
          <w:u w:val="single"/>
        </w:rPr>
      </w:pPr>
      <w:r>
        <w:rPr>
          <w:rFonts w:ascii="Times New Roman" w:eastAsia="Times New Roman" w:hAnsi="Times New Roman" w:cs="Times New Roman"/>
          <w:b/>
          <w:u w:val="single"/>
        </w:rPr>
        <w:t>Journal of Society Bridge</w:t>
      </w:r>
    </w:p>
    <w:p w14:paraId="1B22EA10" w14:textId="77777777" w:rsidR="00E7226C" w:rsidRDefault="00F46DB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https://www.bk3s.org/ojs/index.php/jsb</w:t>
      </w:r>
    </w:p>
    <w:p w14:paraId="257A1F7C" w14:textId="010C4E17" w:rsidR="00E7226C" w:rsidRDefault="00F46DB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Volume </w:t>
      </w:r>
      <w:r w:rsidR="007A0D03">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Nomor</w:t>
      </w:r>
      <w:proofErr w:type="spellEnd"/>
      <w:r>
        <w:rPr>
          <w:rFonts w:ascii="Times New Roman" w:eastAsia="Times New Roman" w:hAnsi="Times New Roman" w:cs="Times New Roman"/>
          <w:sz w:val="20"/>
          <w:szCs w:val="20"/>
        </w:rPr>
        <w:t xml:space="preserve"> </w:t>
      </w:r>
      <w:r w:rsidR="007A0D03">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007A0D03">
        <w:rPr>
          <w:rFonts w:ascii="Times New Roman" w:eastAsia="Times New Roman" w:hAnsi="Times New Roman" w:cs="Times New Roman"/>
          <w:sz w:val="20"/>
          <w:szCs w:val="20"/>
        </w:rPr>
        <w:t>Mei</w:t>
      </w:r>
      <w:r>
        <w:rPr>
          <w:rFonts w:ascii="Times New Roman" w:eastAsia="Times New Roman" w:hAnsi="Times New Roman" w:cs="Times New Roman"/>
          <w:sz w:val="20"/>
          <w:szCs w:val="20"/>
        </w:rPr>
        <w:t xml:space="preserve"> 202</w:t>
      </w:r>
      <w:r w:rsidR="007A0D03">
        <w:rPr>
          <w:rFonts w:ascii="Times New Roman" w:eastAsia="Times New Roman" w:hAnsi="Times New Roman" w:cs="Times New Roman"/>
          <w:sz w:val="20"/>
          <w:szCs w:val="20"/>
        </w:rPr>
        <w:t>5</w:t>
      </w:r>
    </w:p>
    <w:p w14:paraId="5916B050" w14:textId="09CA84A7" w:rsidR="00E7226C" w:rsidRDefault="00F46DB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Hal/Page. </w:t>
      </w:r>
      <w:r w:rsidR="00205CA7">
        <w:rPr>
          <w:rFonts w:ascii="Times New Roman" w:eastAsia="Times New Roman" w:hAnsi="Times New Roman" w:cs="Times New Roman"/>
          <w:sz w:val="20"/>
          <w:szCs w:val="20"/>
        </w:rPr>
        <w:t>107</w:t>
      </w:r>
      <w:r>
        <w:rPr>
          <w:rFonts w:ascii="Times New Roman" w:eastAsia="Times New Roman" w:hAnsi="Times New Roman" w:cs="Times New Roman"/>
          <w:sz w:val="20"/>
          <w:szCs w:val="20"/>
        </w:rPr>
        <w:t>-</w:t>
      </w:r>
      <w:r w:rsidR="00D37577">
        <w:rPr>
          <w:rFonts w:ascii="Times New Roman" w:eastAsia="Times New Roman" w:hAnsi="Times New Roman" w:cs="Times New Roman"/>
          <w:sz w:val="20"/>
          <w:szCs w:val="20"/>
        </w:rPr>
        <w:t>120</w:t>
      </w:r>
      <w:r>
        <w:rPr>
          <w:rFonts w:ascii="Times New Roman" w:eastAsia="Times New Roman" w:hAnsi="Times New Roman" w:cs="Times New Roman"/>
          <w:sz w:val="20"/>
          <w:szCs w:val="20"/>
        </w:rPr>
        <w:t xml:space="preserve"> DOI: </w:t>
      </w:r>
      <w:hyperlink r:id="rId9">
        <w:r>
          <w:rPr>
            <w:rFonts w:ascii="Times New Roman" w:eastAsia="Times New Roman" w:hAnsi="Times New Roman" w:cs="Times New Roman"/>
            <w:color w:val="0000FF"/>
            <w:sz w:val="20"/>
            <w:szCs w:val="20"/>
            <w:u w:val="single"/>
          </w:rPr>
          <w:t>https://doi.org/</w:t>
        </w:r>
        <w:r w:rsidR="00A41E04" w:rsidRPr="00A41E04">
          <w:t xml:space="preserve"> </w:t>
        </w:r>
        <w:r w:rsidR="00A41E04" w:rsidRPr="00A41E04">
          <w:rPr>
            <w:rFonts w:ascii="Times New Roman" w:eastAsia="Times New Roman" w:hAnsi="Times New Roman" w:cs="Times New Roman"/>
            <w:color w:val="0000FF"/>
            <w:sz w:val="20"/>
            <w:szCs w:val="20"/>
            <w:u w:val="single"/>
          </w:rPr>
          <w:t>10.59012/jsb.v3i2.78</w:t>
        </w:r>
        <w:r w:rsidR="00A41E04" w:rsidRPr="00A41E04">
          <w:rPr>
            <w:rFonts w:ascii="Times New Roman" w:eastAsia="Times New Roman" w:hAnsi="Times New Roman" w:cs="Times New Roman"/>
            <w:color w:val="0000FF"/>
            <w:sz w:val="20"/>
            <w:szCs w:val="20"/>
            <w:u w:val="single"/>
          </w:rPr>
          <w:t xml:space="preserve"> </w:t>
        </w:r>
      </w:hyperlink>
    </w:p>
    <w:p w14:paraId="5676C5DA" w14:textId="77777777" w:rsidR="00E7226C" w:rsidRDefault="00E7226C">
      <w:pPr>
        <w:spacing w:after="0" w:line="240" w:lineRule="auto"/>
        <w:jc w:val="center"/>
        <w:rPr>
          <w:rFonts w:ascii="Times New Roman" w:eastAsia="Times New Roman" w:hAnsi="Times New Roman" w:cs="Times New Roman"/>
          <w:sz w:val="20"/>
          <w:szCs w:val="20"/>
        </w:rPr>
      </w:pPr>
    </w:p>
    <w:p w14:paraId="25911F67" w14:textId="77777777" w:rsidR="00E7226C" w:rsidRDefault="00E7226C">
      <w:pPr>
        <w:spacing w:after="0" w:line="240" w:lineRule="auto"/>
        <w:jc w:val="center"/>
        <w:rPr>
          <w:rFonts w:ascii="Times New Roman" w:eastAsia="Times New Roman" w:hAnsi="Times New Roman" w:cs="Times New Roman"/>
          <w:sz w:val="20"/>
          <w:szCs w:val="20"/>
        </w:rPr>
      </w:pPr>
    </w:p>
    <w:p w14:paraId="4B6E78C6" w14:textId="290D1AEA" w:rsidR="00E7226C" w:rsidRDefault="00F46DB7">
      <w:pPr>
        <w:spacing w:after="0" w:line="240" w:lineRule="auto"/>
        <w:jc w:val="center"/>
        <w:rPr>
          <w:rFonts w:ascii="Times New Roman" w:eastAsia="Times New Roman" w:hAnsi="Times New Roman" w:cs="Times New Roman"/>
          <w:b/>
          <w:sz w:val="32"/>
          <w:szCs w:val="32"/>
        </w:rPr>
      </w:pPr>
      <w:bookmarkStart w:id="0" w:name="_Hlk202514492"/>
      <w:r>
        <w:rPr>
          <w:rFonts w:ascii="Times New Roman" w:eastAsia="Times New Roman" w:hAnsi="Times New Roman" w:cs="Times New Roman"/>
          <w:b/>
          <w:sz w:val="32"/>
          <w:szCs w:val="32"/>
        </w:rPr>
        <w:t xml:space="preserve">Socio-Ecological Justice in Waste Governance: Community Resilience in Peri-Urban </w:t>
      </w:r>
      <w:proofErr w:type="spellStart"/>
      <w:r>
        <w:rPr>
          <w:rFonts w:ascii="Times New Roman" w:eastAsia="Times New Roman" w:hAnsi="Times New Roman" w:cs="Times New Roman"/>
          <w:b/>
          <w:sz w:val="32"/>
          <w:szCs w:val="32"/>
        </w:rPr>
        <w:t>Piyungan</w:t>
      </w:r>
      <w:proofErr w:type="spellEnd"/>
      <w:r>
        <w:rPr>
          <w:rFonts w:ascii="Times New Roman" w:eastAsia="Times New Roman" w:hAnsi="Times New Roman" w:cs="Times New Roman"/>
          <w:b/>
          <w:sz w:val="32"/>
          <w:szCs w:val="32"/>
        </w:rPr>
        <w:t>, Yogyakarta</w:t>
      </w:r>
      <w:bookmarkEnd w:id="0"/>
    </w:p>
    <w:p w14:paraId="681C3345" w14:textId="77777777" w:rsidR="00E7226C" w:rsidRDefault="00E7226C">
      <w:pPr>
        <w:spacing w:after="0" w:line="240" w:lineRule="auto"/>
        <w:rPr>
          <w:rFonts w:ascii="Times New Roman" w:eastAsia="Times New Roman" w:hAnsi="Times New Roman" w:cs="Times New Roman"/>
          <w:sz w:val="28"/>
          <w:szCs w:val="28"/>
        </w:rPr>
      </w:pPr>
    </w:p>
    <w:p w14:paraId="1CE7DB20" w14:textId="3C17DD65" w:rsidR="00E7226C" w:rsidRDefault="00F46D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Silvia </w:t>
      </w:r>
      <w:proofErr w:type="spellStart"/>
      <w:r>
        <w:rPr>
          <w:rFonts w:ascii="Times New Roman" w:eastAsia="Times New Roman" w:hAnsi="Times New Roman" w:cs="Times New Roman"/>
          <w:b/>
          <w:sz w:val="24"/>
          <w:szCs w:val="24"/>
        </w:rPr>
        <w:t>Jultikasari</w:t>
      </w:r>
      <w:proofErr w:type="spellEnd"/>
      <w:r>
        <w:rPr>
          <w:rFonts w:ascii="Times New Roman" w:eastAsia="Times New Roman" w:hAnsi="Times New Roman" w:cs="Times New Roman"/>
          <w:b/>
          <w:sz w:val="24"/>
          <w:szCs w:val="24"/>
        </w:rPr>
        <w:t xml:space="preserve"> Febrian</w:t>
      </w:r>
      <w:r w:rsidR="00205CA7">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w:t>
      </w:r>
    </w:p>
    <w:p w14:paraId="05CE142C" w14:textId="77777777" w:rsidR="00E7226C" w:rsidRDefault="00F46DB7">
      <w:pPr>
        <w:numPr>
          <w:ilvl w:val="0"/>
          <w:numId w:val="1"/>
        </w:numPr>
        <w:spacing w:after="0" w:line="240" w:lineRule="auto"/>
        <w:ind w:left="284" w:hanging="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Sarjana </w:t>
      </w:r>
      <w:proofErr w:type="spellStart"/>
      <w:r>
        <w:rPr>
          <w:rFonts w:ascii="Times New Roman" w:eastAsia="Times New Roman" w:hAnsi="Times New Roman" w:cs="Times New Roman"/>
          <w:sz w:val="20"/>
          <w:szCs w:val="20"/>
        </w:rPr>
        <w:t>Hubungan</w:t>
      </w:r>
      <w:proofErr w:type="spellEnd"/>
      <w:r>
        <w:rPr>
          <w:rFonts w:ascii="Times New Roman" w:eastAsia="Times New Roman" w:hAnsi="Times New Roman" w:cs="Times New Roman"/>
          <w:sz w:val="20"/>
          <w:szCs w:val="20"/>
        </w:rPr>
        <w:t xml:space="preserve"> </w:t>
      </w:r>
      <w:proofErr w:type="spellStart"/>
      <w:proofErr w:type="gramStart"/>
      <w:r>
        <w:rPr>
          <w:rFonts w:ascii="Times New Roman" w:eastAsia="Times New Roman" w:hAnsi="Times New Roman" w:cs="Times New Roman"/>
          <w:sz w:val="20"/>
          <w:szCs w:val="20"/>
        </w:rPr>
        <w:t>Internasional,Universitas</w:t>
      </w:r>
      <w:proofErr w:type="spellEnd"/>
      <w:proofErr w:type="gramEnd"/>
      <w:r>
        <w:rPr>
          <w:rFonts w:ascii="Times New Roman" w:eastAsia="Times New Roman" w:hAnsi="Times New Roman" w:cs="Times New Roman"/>
          <w:sz w:val="20"/>
          <w:szCs w:val="20"/>
        </w:rPr>
        <w:t xml:space="preserve"> Islam Indonesia</w:t>
      </w:r>
    </w:p>
    <w:p w14:paraId="4DE8A2A4" w14:textId="79770FCD" w:rsidR="00E7226C" w:rsidRDefault="00205CA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proofErr w:type="spellStart"/>
      <w:r>
        <w:rPr>
          <w:rFonts w:ascii="Times New Roman" w:eastAsia="Times New Roman" w:hAnsi="Times New Roman" w:cs="Times New Roman"/>
          <w:sz w:val="20"/>
          <w:szCs w:val="20"/>
        </w:rPr>
        <w:t>Korespondensi</w:t>
      </w:r>
      <w:proofErr w:type="spellEnd"/>
      <w:r>
        <w:rPr>
          <w:rFonts w:ascii="Times New Roman" w:eastAsia="Times New Roman" w:hAnsi="Times New Roman" w:cs="Times New Roman"/>
          <w:sz w:val="20"/>
          <w:szCs w:val="20"/>
        </w:rPr>
        <w:t xml:space="preserve">: </w:t>
      </w:r>
      <w:r w:rsidR="00F46DB7">
        <w:rPr>
          <w:rFonts w:ascii="Times New Roman" w:eastAsia="Times New Roman" w:hAnsi="Times New Roman" w:cs="Times New Roman"/>
          <w:sz w:val="20"/>
          <w:szCs w:val="20"/>
        </w:rPr>
        <w:t>14silviajultika@gmai</w:t>
      </w:r>
      <w:r w:rsidR="00572E4A">
        <w:rPr>
          <w:rFonts w:ascii="Times New Roman" w:eastAsia="Times New Roman" w:hAnsi="Times New Roman" w:cs="Times New Roman"/>
          <w:sz w:val="20"/>
          <w:szCs w:val="20"/>
        </w:rPr>
        <w:t>l</w:t>
      </w:r>
      <w:r w:rsidR="00F46DB7">
        <w:rPr>
          <w:rFonts w:ascii="Times New Roman" w:eastAsia="Times New Roman" w:hAnsi="Times New Roman" w:cs="Times New Roman"/>
          <w:sz w:val="20"/>
          <w:szCs w:val="20"/>
        </w:rPr>
        <w:t>.com</w:t>
      </w:r>
    </w:p>
    <w:p w14:paraId="70B4526E" w14:textId="77777777" w:rsidR="00E7226C" w:rsidRDefault="00E7226C">
      <w:pPr>
        <w:spacing w:after="0" w:line="240" w:lineRule="auto"/>
        <w:jc w:val="center"/>
        <w:rPr>
          <w:rFonts w:ascii="Times New Roman" w:eastAsia="Times New Roman" w:hAnsi="Times New Roman" w:cs="Times New Roman"/>
          <w:sz w:val="20"/>
          <w:szCs w:val="20"/>
        </w:rPr>
      </w:pPr>
    </w:p>
    <w:p w14:paraId="50CB3288" w14:textId="77777777" w:rsidR="00E7226C" w:rsidRDefault="00E7226C">
      <w:pPr>
        <w:spacing w:after="0" w:line="240" w:lineRule="auto"/>
        <w:jc w:val="center"/>
        <w:rPr>
          <w:rFonts w:ascii="Times New Roman" w:eastAsia="Times New Roman" w:hAnsi="Times New Roman" w:cs="Times New Roman"/>
          <w:sz w:val="20"/>
          <w:szCs w:val="20"/>
        </w:rPr>
      </w:pPr>
    </w:p>
    <w:p w14:paraId="13C0BF30" w14:textId="2902DAA4" w:rsidR="00E7226C" w:rsidRDefault="00057197" w:rsidP="00205CA7">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Abstract</w:t>
      </w:r>
      <w:r w:rsidR="00F46DB7">
        <w:rPr>
          <w:rFonts w:ascii="Times New Roman" w:eastAsia="Times New Roman" w:hAnsi="Times New Roman" w:cs="Times New Roman"/>
          <w:b/>
          <w:i/>
          <w:sz w:val="20"/>
          <w:szCs w:val="20"/>
        </w:rPr>
        <w:t>:</w:t>
      </w:r>
      <w:r w:rsidR="00F46DB7">
        <w:rPr>
          <w:rFonts w:ascii="Times New Roman" w:eastAsia="Times New Roman" w:hAnsi="Times New Roman" w:cs="Times New Roman"/>
          <w:i/>
          <w:sz w:val="20"/>
          <w:szCs w:val="20"/>
        </w:rPr>
        <w:t xml:space="preserve"> This study explores the socio-ecological injustices embedded in urban waste governance, focusing on the overburdened </w:t>
      </w:r>
      <w:proofErr w:type="spellStart"/>
      <w:r w:rsidR="00F46DB7">
        <w:rPr>
          <w:rFonts w:ascii="Times New Roman" w:eastAsia="Times New Roman" w:hAnsi="Times New Roman" w:cs="Times New Roman"/>
          <w:i/>
          <w:sz w:val="20"/>
          <w:szCs w:val="20"/>
        </w:rPr>
        <w:t>Piyungan</w:t>
      </w:r>
      <w:proofErr w:type="spellEnd"/>
      <w:r w:rsidR="00F46DB7">
        <w:rPr>
          <w:rFonts w:ascii="Times New Roman" w:eastAsia="Times New Roman" w:hAnsi="Times New Roman" w:cs="Times New Roman"/>
          <w:i/>
          <w:sz w:val="20"/>
          <w:szCs w:val="20"/>
        </w:rPr>
        <w:t xml:space="preserve"> Final Disposal Site (TPA) in </w:t>
      </w:r>
      <w:r w:rsidR="00D37577">
        <w:rPr>
          <w:rFonts w:ascii="Times New Roman" w:eastAsia="Times New Roman" w:hAnsi="Times New Roman" w:cs="Times New Roman"/>
          <w:i/>
          <w:sz w:val="20"/>
          <w:szCs w:val="20"/>
        </w:rPr>
        <w:t xml:space="preserve">Special Region </w:t>
      </w:r>
      <w:r w:rsidR="00F46DB7">
        <w:rPr>
          <w:rFonts w:ascii="Times New Roman" w:eastAsia="Times New Roman" w:hAnsi="Times New Roman" w:cs="Times New Roman"/>
          <w:i/>
          <w:sz w:val="20"/>
          <w:szCs w:val="20"/>
        </w:rPr>
        <w:t>Yogyakarta, Indonesia. Despite the official declaration of the facility's overcapacity in 2024, it persists in operating under emergency conditions in 2025, exerting a disproportionate impact on nearby peri-urban communities. The present study employs a socio-ecological justice theoretical framework that emphasizes distributive, procedural, and recognitional dimensions to explore the exacerbation of spatial inequalities by policy failures, governance dissonance, and lack of public participation. The study utilizes qualitative methodologies, encompassing document analysis, media reports, and secondary interviews, to elucidate systemic exclusion of affected residents from decision-making processes and the absence of sustained compensatory mechanisms. Concurrently, the research identifies bottom-up resilience strategies, including citizen-formed waste cooperatives and media-based advocacy. The findings indicate that sustainable urban development in the Global South cannot rely solely on technocratic or green branding initiatives. Rather, it must address more profound political and ethical questions concerning environmental justice, recognition, and community agency. This paper calls for a paradigm shift toward inclusive governance that repositions peri-urban citizens as co-architects of equitable waste management.</w:t>
      </w:r>
    </w:p>
    <w:p w14:paraId="43A9A188" w14:textId="77777777" w:rsidR="00205CA7" w:rsidRPr="00205CA7" w:rsidRDefault="00205CA7" w:rsidP="00205CA7">
      <w:pPr>
        <w:spacing w:after="0" w:line="240" w:lineRule="auto"/>
        <w:jc w:val="both"/>
        <w:rPr>
          <w:rFonts w:ascii="Times New Roman" w:eastAsia="Times New Roman" w:hAnsi="Times New Roman" w:cs="Times New Roman"/>
          <w:i/>
          <w:sz w:val="20"/>
          <w:szCs w:val="20"/>
        </w:rPr>
      </w:pPr>
    </w:p>
    <w:p w14:paraId="64736283" w14:textId="43F5A620" w:rsidR="00E7226C" w:rsidRDefault="00205CA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i/>
          <w:sz w:val="18"/>
          <w:szCs w:val="18"/>
        </w:rPr>
        <w:t>Keywords</w:t>
      </w:r>
      <w:r w:rsidR="00F46DB7">
        <w:rPr>
          <w:rFonts w:ascii="Times New Roman" w:eastAsia="Times New Roman" w:hAnsi="Times New Roman" w:cs="Times New Roman"/>
          <w:b/>
          <w:i/>
          <w:sz w:val="18"/>
          <w:szCs w:val="18"/>
        </w:rPr>
        <w:t>;</w:t>
      </w:r>
      <w:r w:rsidR="00F46DB7">
        <w:rPr>
          <w:rFonts w:ascii="Times New Roman" w:eastAsia="Times New Roman" w:hAnsi="Times New Roman" w:cs="Times New Roman"/>
          <w:i/>
          <w:sz w:val="18"/>
          <w:szCs w:val="18"/>
        </w:rPr>
        <w:t xml:space="preserve"> Socio-ecological justice; urban waste governance; </w:t>
      </w:r>
      <w:proofErr w:type="spellStart"/>
      <w:r w:rsidR="00F46DB7">
        <w:rPr>
          <w:rFonts w:ascii="Times New Roman" w:eastAsia="Times New Roman" w:hAnsi="Times New Roman" w:cs="Times New Roman"/>
          <w:i/>
          <w:sz w:val="18"/>
          <w:szCs w:val="18"/>
        </w:rPr>
        <w:t>Piyungan</w:t>
      </w:r>
      <w:proofErr w:type="spellEnd"/>
      <w:r w:rsidR="00F46DB7">
        <w:rPr>
          <w:rFonts w:ascii="Times New Roman" w:eastAsia="Times New Roman" w:hAnsi="Times New Roman" w:cs="Times New Roman"/>
          <w:i/>
          <w:sz w:val="18"/>
          <w:szCs w:val="18"/>
        </w:rPr>
        <w:t xml:space="preserve"> landfill; environmental inequality; community resilience.</w:t>
      </w:r>
    </w:p>
    <w:p w14:paraId="39971FC5" w14:textId="77777777" w:rsidR="00E7226C" w:rsidRDefault="00E7226C">
      <w:pPr>
        <w:spacing w:after="0" w:line="240" w:lineRule="auto"/>
        <w:rPr>
          <w:rFonts w:ascii="Times New Roman" w:eastAsia="Times New Roman" w:hAnsi="Times New Roman" w:cs="Times New Roman"/>
          <w:sz w:val="18"/>
          <w:szCs w:val="18"/>
        </w:rPr>
      </w:pPr>
    </w:p>
    <w:p w14:paraId="75AA9CC8" w14:textId="77777777" w:rsidR="00E7226C" w:rsidRDefault="00E7226C">
      <w:pPr>
        <w:spacing w:after="0" w:line="240" w:lineRule="auto"/>
        <w:jc w:val="center"/>
        <w:rPr>
          <w:rFonts w:ascii="Times New Roman" w:eastAsia="Times New Roman" w:hAnsi="Times New Roman" w:cs="Times New Roman"/>
          <w:sz w:val="20"/>
          <w:szCs w:val="20"/>
        </w:rPr>
      </w:pPr>
    </w:p>
    <w:p w14:paraId="2D4DAB27" w14:textId="5BCA8C34" w:rsidR="00E7226C" w:rsidRDefault="00F46DB7">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 xml:space="preserve">Article Information: </w:t>
      </w:r>
      <w:r>
        <w:rPr>
          <w:rFonts w:ascii="Times New Roman" w:eastAsia="Times New Roman" w:hAnsi="Times New Roman" w:cs="Times New Roman"/>
          <w:color w:val="000000"/>
          <w:sz w:val="18"/>
          <w:szCs w:val="18"/>
        </w:rPr>
        <w:t xml:space="preserve">Submitted: </w:t>
      </w:r>
      <w:r>
        <w:rPr>
          <w:rFonts w:ascii="Times New Roman" w:eastAsia="Times New Roman" w:hAnsi="Times New Roman" w:cs="Times New Roman"/>
          <w:sz w:val="18"/>
          <w:szCs w:val="18"/>
        </w:rPr>
        <w:t>2025</w:t>
      </w:r>
      <w:r>
        <w:rPr>
          <w:rFonts w:ascii="Times New Roman" w:eastAsia="Times New Roman" w:hAnsi="Times New Roman" w:cs="Times New Roman"/>
          <w:color w:val="000000"/>
          <w:sz w:val="18"/>
          <w:szCs w:val="18"/>
        </w:rPr>
        <w:t>-</w:t>
      </w:r>
      <w:r w:rsidR="008871B9">
        <w:rPr>
          <w:rFonts w:ascii="Times New Roman" w:eastAsia="Times New Roman" w:hAnsi="Times New Roman" w:cs="Times New Roman"/>
          <w:sz w:val="18"/>
          <w:szCs w:val="18"/>
        </w:rPr>
        <w:t>04</w:t>
      </w:r>
      <w:r>
        <w:rPr>
          <w:rFonts w:ascii="Times New Roman" w:eastAsia="Times New Roman" w:hAnsi="Times New Roman" w:cs="Times New Roman"/>
          <w:color w:val="000000"/>
          <w:sz w:val="18"/>
          <w:szCs w:val="18"/>
        </w:rPr>
        <w:t>-</w:t>
      </w:r>
      <w:r>
        <w:rPr>
          <w:rFonts w:ascii="Times New Roman" w:eastAsia="Times New Roman" w:hAnsi="Times New Roman" w:cs="Times New Roman"/>
          <w:sz w:val="18"/>
          <w:szCs w:val="18"/>
        </w:rPr>
        <w:t>30</w:t>
      </w:r>
      <w:r>
        <w:rPr>
          <w:rFonts w:ascii="Times New Roman" w:eastAsia="Times New Roman" w:hAnsi="Times New Roman" w:cs="Times New Roman"/>
          <w:color w:val="000000"/>
          <w:sz w:val="18"/>
          <w:szCs w:val="18"/>
        </w:rPr>
        <w:t xml:space="preserve">; Revised </w:t>
      </w:r>
      <w:r w:rsidR="008871B9">
        <w:rPr>
          <w:rFonts w:ascii="Times New Roman" w:eastAsia="Times New Roman" w:hAnsi="Times New Roman" w:cs="Times New Roman"/>
          <w:color w:val="000000"/>
          <w:sz w:val="18"/>
          <w:szCs w:val="18"/>
        </w:rPr>
        <w:t>2025</w:t>
      </w:r>
      <w:r>
        <w:rPr>
          <w:rFonts w:ascii="Times New Roman" w:eastAsia="Times New Roman" w:hAnsi="Times New Roman" w:cs="Times New Roman"/>
          <w:color w:val="000000"/>
          <w:sz w:val="18"/>
          <w:szCs w:val="18"/>
        </w:rPr>
        <w:t>-</w:t>
      </w:r>
      <w:r w:rsidR="008871B9">
        <w:rPr>
          <w:rFonts w:ascii="Times New Roman" w:eastAsia="Times New Roman" w:hAnsi="Times New Roman" w:cs="Times New Roman"/>
          <w:color w:val="000000"/>
          <w:sz w:val="18"/>
          <w:szCs w:val="18"/>
        </w:rPr>
        <w:t>05</w:t>
      </w:r>
      <w:r>
        <w:rPr>
          <w:rFonts w:ascii="Times New Roman" w:eastAsia="Times New Roman" w:hAnsi="Times New Roman" w:cs="Times New Roman"/>
          <w:color w:val="000000"/>
          <w:sz w:val="18"/>
          <w:szCs w:val="18"/>
        </w:rPr>
        <w:t>-</w:t>
      </w:r>
      <w:r w:rsidR="008871B9">
        <w:rPr>
          <w:rFonts w:ascii="Times New Roman" w:eastAsia="Times New Roman" w:hAnsi="Times New Roman" w:cs="Times New Roman"/>
          <w:color w:val="000000"/>
          <w:sz w:val="18"/>
          <w:szCs w:val="18"/>
        </w:rPr>
        <w:t>07</w:t>
      </w:r>
      <w:r>
        <w:rPr>
          <w:rFonts w:ascii="Times New Roman" w:eastAsia="Times New Roman" w:hAnsi="Times New Roman" w:cs="Times New Roman"/>
          <w:color w:val="000000"/>
          <w:sz w:val="18"/>
          <w:szCs w:val="18"/>
        </w:rPr>
        <w:t xml:space="preserve">; Accepted: </w:t>
      </w:r>
      <w:r w:rsidR="008871B9">
        <w:rPr>
          <w:rFonts w:ascii="Times New Roman" w:eastAsia="Times New Roman" w:hAnsi="Times New Roman" w:cs="Times New Roman"/>
          <w:color w:val="000000"/>
          <w:sz w:val="18"/>
          <w:szCs w:val="18"/>
        </w:rPr>
        <w:t>2025</w:t>
      </w:r>
      <w:r>
        <w:rPr>
          <w:rFonts w:ascii="Times New Roman" w:eastAsia="Times New Roman" w:hAnsi="Times New Roman" w:cs="Times New Roman"/>
          <w:color w:val="000000"/>
          <w:sz w:val="18"/>
          <w:szCs w:val="18"/>
        </w:rPr>
        <w:t>-</w:t>
      </w:r>
      <w:r w:rsidR="008871B9">
        <w:rPr>
          <w:rFonts w:ascii="Times New Roman" w:eastAsia="Times New Roman" w:hAnsi="Times New Roman" w:cs="Times New Roman"/>
          <w:color w:val="000000"/>
          <w:sz w:val="18"/>
          <w:szCs w:val="18"/>
        </w:rPr>
        <w:t>05</w:t>
      </w:r>
      <w:r>
        <w:rPr>
          <w:rFonts w:ascii="Times New Roman" w:eastAsia="Times New Roman" w:hAnsi="Times New Roman" w:cs="Times New Roman"/>
          <w:color w:val="000000"/>
          <w:sz w:val="18"/>
          <w:szCs w:val="18"/>
        </w:rPr>
        <w:t>-</w:t>
      </w:r>
      <w:r w:rsidR="00D7788C">
        <w:rPr>
          <w:rFonts w:ascii="Times New Roman" w:eastAsia="Times New Roman" w:hAnsi="Times New Roman" w:cs="Times New Roman"/>
          <w:color w:val="000000"/>
          <w:sz w:val="18"/>
          <w:szCs w:val="18"/>
        </w:rPr>
        <w:t>30</w:t>
      </w:r>
    </w:p>
    <w:p w14:paraId="17ABD2CF" w14:textId="77777777" w:rsidR="00E7226C" w:rsidRDefault="00E7226C">
      <w:pPr>
        <w:spacing w:after="0" w:line="360" w:lineRule="auto"/>
        <w:jc w:val="both"/>
        <w:rPr>
          <w:rFonts w:ascii="Times New Roman" w:eastAsia="Times New Roman" w:hAnsi="Times New Roman" w:cs="Times New Roman"/>
          <w:color w:val="0E101A"/>
          <w:sz w:val="24"/>
          <w:szCs w:val="24"/>
        </w:rPr>
      </w:pPr>
    </w:p>
    <w:p w14:paraId="35C3084C" w14:textId="77777777" w:rsidR="00E7226C" w:rsidRDefault="00F46DB7">
      <w:pPr>
        <w:spacing w:after="0"/>
        <w:jc w:val="both"/>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INTRODUCTION </w:t>
      </w:r>
    </w:p>
    <w:p w14:paraId="16220ED3" w14:textId="2376075B" w:rsidR="00E7226C" w:rsidRDefault="00F46DB7">
      <w:pPr>
        <w:spacing w:before="240" w:after="240"/>
        <w:ind w:firstLine="72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Urban waste management has come to the fore as a critical governance challenge for rapidly urbanizing regions in the Global South. In Indonesia, issues concerning waste management have been intricately intertwined with the expansion of urban areas, institutional inefficiencies, and environmental degradation. A particularly salient example of this crisis is the case of the </w:t>
      </w:r>
      <w:proofErr w:type="spellStart"/>
      <w:r>
        <w:rPr>
          <w:rFonts w:ascii="Times New Roman" w:eastAsia="Times New Roman" w:hAnsi="Times New Roman" w:cs="Times New Roman"/>
          <w:color w:val="0E101A"/>
          <w:sz w:val="24"/>
          <w:szCs w:val="24"/>
        </w:rPr>
        <w:t>Piyungan</w:t>
      </w:r>
      <w:proofErr w:type="spellEnd"/>
      <w:r>
        <w:rPr>
          <w:rFonts w:ascii="Times New Roman" w:eastAsia="Times New Roman" w:hAnsi="Times New Roman" w:cs="Times New Roman"/>
          <w:color w:val="0E101A"/>
          <w:sz w:val="24"/>
          <w:szCs w:val="24"/>
        </w:rPr>
        <w:t xml:space="preserve"> Landfill in</w:t>
      </w:r>
      <w:r w:rsidR="00D37577">
        <w:rPr>
          <w:rFonts w:ascii="Times New Roman" w:eastAsia="Times New Roman" w:hAnsi="Times New Roman" w:cs="Times New Roman"/>
          <w:color w:val="0E101A"/>
          <w:sz w:val="24"/>
          <w:szCs w:val="24"/>
        </w:rPr>
        <w:t xml:space="preserve"> Special Region</w:t>
      </w:r>
      <w:r>
        <w:rPr>
          <w:rFonts w:ascii="Times New Roman" w:eastAsia="Times New Roman" w:hAnsi="Times New Roman" w:cs="Times New Roman"/>
          <w:color w:val="0E101A"/>
          <w:sz w:val="24"/>
          <w:szCs w:val="24"/>
        </w:rPr>
        <w:t xml:space="preserve"> Yogyakarta. Officially closed in 2024 due to overcapacity, the </w:t>
      </w:r>
      <w:proofErr w:type="spellStart"/>
      <w:r>
        <w:rPr>
          <w:rFonts w:ascii="Times New Roman" w:eastAsia="Times New Roman" w:hAnsi="Times New Roman" w:cs="Times New Roman"/>
          <w:color w:val="0E101A"/>
          <w:sz w:val="24"/>
          <w:szCs w:val="24"/>
        </w:rPr>
        <w:t>Piyungan</w:t>
      </w:r>
      <w:proofErr w:type="spellEnd"/>
      <w:r>
        <w:rPr>
          <w:rFonts w:ascii="Times New Roman" w:eastAsia="Times New Roman" w:hAnsi="Times New Roman" w:cs="Times New Roman"/>
          <w:color w:val="0E101A"/>
          <w:sz w:val="24"/>
          <w:szCs w:val="24"/>
        </w:rPr>
        <w:t xml:space="preserve"> landfill continues to operate under emergency status until 2025, thereby exposing the vulnerabilities in the social and ecological fabric of urban life in the region </w:t>
      </w:r>
      <w:sdt>
        <w:sdtPr>
          <w:rPr>
            <w:rFonts w:ascii="Times New Roman" w:eastAsia="Times New Roman" w:hAnsi="Times New Roman" w:cs="Times New Roman"/>
            <w:color w:val="000000"/>
            <w:sz w:val="24"/>
            <w:szCs w:val="24"/>
          </w:rPr>
          <w:tag w:val="MENDELEY_CITATION_v3_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"/>
          <w:id w:val="-1410912762"/>
          <w:placeholder>
            <w:docPart w:val="DefaultPlaceholder_-1854013440"/>
          </w:placeholder>
        </w:sdtPr>
        <w:sdtContent>
          <w:r w:rsidR="00057197" w:rsidRPr="00057197">
            <w:rPr>
              <w:rFonts w:ascii="Times New Roman" w:eastAsia="Times New Roman" w:hAnsi="Times New Roman" w:cs="Times New Roman"/>
              <w:color w:val="000000"/>
              <w:sz w:val="24"/>
              <w:szCs w:val="24"/>
            </w:rPr>
            <w:t>[1]</w:t>
          </w:r>
        </w:sdtContent>
      </w:sdt>
      <w:r>
        <w:rPr>
          <w:rFonts w:ascii="Times New Roman" w:eastAsia="Times New Roman" w:hAnsi="Times New Roman" w:cs="Times New Roman"/>
          <w:color w:val="0E101A"/>
          <w:sz w:val="24"/>
          <w:szCs w:val="24"/>
        </w:rPr>
        <w:t>.</w:t>
      </w:r>
    </w:p>
    <w:p w14:paraId="630A1374" w14:textId="77777777" w:rsidR="00205CA7" w:rsidRDefault="00F46DB7">
      <w:pPr>
        <w:spacing w:before="240" w:after="240"/>
        <w:ind w:firstLine="720"/>
        <w:jc w:val="both"/>
        <w:rPr>
          <w:rFonts w:ascii="Times New Roman" w:eastAsia="Times New Roman" w:hAnsi="Times New Roman" w:cs="Times New Roman"/>
          <w:color w:val="0E101A"/>
          <w:sz w:val="24"/>
          <w:szCs w:val="24"/>
        </w:rPr>
        <w:sectPr w:rsidR="00205CA7" w:rsidSect="00205CA7">
          <w:headerReference w:type="default" r:id="rId10"/>
          <w:footerReference w:type="default" r:id="rId11"/>
          <w:pgSz w:w="11906" w:h="16838"/>
          <w:pgMar w:top="1440" w:right="1440" w:bottom="1440" w:left="1800" w:header="720" w:footer="720" w:gutter="0"/>
          <w:pgNumType w:start="107"/>
          <w:cols w:space="720"/>
        </w:sectPr>
      </w:pPr>
      <w:r>
        <w:rPr>
          <w:rFonts w:ascii="Times New Roman" w:eastAsia="Times New Roman" w:hAnsi="Times New Roman" w:cs="Times New Roman"/>
          <w:color w:val="0E101A"/>
          <w:sz w:val="24"/>
          <w:szCs w:val="24"/>
        </w:rPr>
        <w:t xml:space="preserve">Waste is not merely a technical issue; rather, it is indicative of systemic inequalities and deficiencies in urban governance. The </w:t>
      </w:r>
      <w:proofErr w:type="spellStart"/>
      <w:r>
        <w:rPr>
          <w:rFonts w:ascii="Times New Roman" w:eastAsia="Times New Roman" w:hAnsi="Times New Roman" w:cs="Times New Roman"/>
          <w:color w:val="0E101A"/>
          <w:sz w:val="24"/>
          <w:szCs w:val="24"/>
        </w:rPr>
        <w:t>Piyungan</w:t>
      </w:r>
      <w:proofErr w:type="spellEnd"/>
      <w:r>
        <w:rPr>
          <w:rFonts w:ascii="Times New Roman" w:eastAsia="Times New Roman" w:hAnsi="Times New Roman" w:cs="Times New Roman"/>
          <w:color w:val="0E101A"/>
          <w:sz w:val="24"/>
          <w:szCs w:val="24"/>
        </w:rPr>
        <w:t xml:space="preserve"> landfill, which was originally designed to accommodate waste from three administrative areas (Yogyakarta City, Sleman Regency, </w:t>
      </w:r>
    </w:p>
    <w:p w14:paraId="339F6582" w14:textId="0926BED9" w:rsidR="00E7226C" w:rsidRDefault="00F46DB7" w:rsidP="00205CA7">
      <w:pPr>
        <w:spacing w:before="240" w:after="24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lastRenderedPageBreak/>
        <w:t xml:space="preserve">and Bantul Regency), has long exceeded </w:t>
      </w:r>
      <w:proofErr w:type="gramStart"/>
      <w:r>
        <w:rPr>
          <w:rFonts w:ascii="Times New Roman" w:eastAsia="Times New Roman" w:hAnsi="Times New Roman" w:cs="Times New Roman"/>
          <w:color w:val="0E101A"/>
          <w:sz w:val="24"/>
          <w:szCs w:val="24"/>
        </w:rPr>
        <w:t>its</w:t>
      </w:r>
      <w:proofErr w:type="gramEnd"/>
      <w:r>
        <w:rPr>
          <w:rFonts w:ascii="Times New Roman" w:eastAsia="Times New Roman" w:hAnsi="Times New Roman" w:cs="Times New Roman"/>
          <w:color w:val="0E101A"/>
          <w:sz w:val="24"/>
          <w:szCs w:val="24"/>
        </w:rPr>
        <w:t xml:space="preserve"> carrying capacity. The accumulation of more than 700 tons of waste per day without systemic intervention has resulted in overflowing piles of waste, the release of toxic gases, and damage to the surrounding ecosystem. The case under consideration is of particular significance insofar as it demonstrates a disproportionate burden on communities residing in peri-urban areas in the vicinity of the disposal site. These communities are exposed to significant health risks, water contamination, and social stigmatization, while concurrently being marginalized in mainstream environmental policy discourse</w:t>
      </w:r>
      <w:r w:rsidR="00057197">
        <w:rPr>
          <w:rFonts w:ascii="Times New Roman" w:eastAsia="Times New Roman" w:hAnsi="Times New Roman" w:cs="Times New Roman"/>
          <w:color w:val="0E101A"/>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"/>
          <w:id w:val="-734311663"/>
          <w:placeholder>
            <w:docPart w:val="DefaultPlaceholder_-1854013440"/>
          </w:placeholder>
        </w:sdtPr>
        <w:sdtContent>
          <w:r w:rsidR="00057197" w:rsidRPr="00057197">
            <w:rPr>
              <w:rFonts w:ascii="Times New Roman" w:eastAsia="Times New Roman" w:hAnsi="Times New Roman" w:cs="Times New Roman"/>
              <w:color w:val="000000"/>
              <w:sz w:val="24"/>
              <w:szCs w:val="24"/>
            </w:rPr>
            <w:t>[2]</w:t>
          </w:r>
        </w:sdtContent>
      </w:sdt>
      <w:r w:rsidR="00057197">
        <w:rPr>
          <w:rFonts w:ascii="Times New Roman" w:eastAsia="Times New Roman" w:hAnsi="Times New Roman" w:cs="Times New Roman"/>
          <w:color w:val="0E101A"/>
          <w:sz w:val="24"/>
          <w:szCs w:val="24"/>
        </w:rPr>
        <w:t xml:space="preserve"> . </w:t>
      </w:r>
    </w:p>
    <w:p w14:paraId="0505F031" w14:textId="77777777" w:rsidR="00E7226C" w:rsidRDefault="00F46DB7">
      <w:pPr>
        <w:spacing w:before="240" w:after="240"/>
        <w:ind w:firstLine="72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This study posits that the waste crisis in </w:t>
      </w:r>
      <w:proofErr w:type="spellStart"/>
      <w:r>
        <w:rPr>
          <w:rFonts w:ascii="Times New Roman" w:eastAsia="Times New Roman" w:hAnsi="Times New Roman" w:cs="Times New Roman"/>
          <w:color w:val="0E101A"/>
          <w:sz w:val="24"/>
          <w:szCs w:val="24"/>
        </w:rPr>
        <w:t>Piyungan</w:t>
      </w:r>
      <w:proofErr w:type="spellEnd"/>
      <w:r>
        <w:rPr>
          <w:rFonts w:ascii="Times New Roman" w:eastAsia="Times New Roman" w:hAnsi="Times New Roman" w:cs="Times New Roman"/>
          <w:color w:val="0E101A"/>
          <w:sz w:val="24"/>
          <w:szCs w:val="24"/>
        </w:rPr>
        <w:t xml:space="preserve"> must be understood through the lens of socio-ecological justice. This concept establishes a nexus between the distributional, procedural, and recognition dimensions of justice, particularly within the context of environmental burdens. From this vantage point, the communities surrounding the </w:t>
      </w:r>
      <w:proofErr w:type="spellStart"/>
      <w:r>
        <w:rPr>
          <w:rFonts w:ascii="Times New Roman" w:eastAsia="Times New Roman" w:hAnsi="Times New Roman" w:cs="Times New Roman"/>
          <w:color w:val="0E101A"/>
          <w:sz w:val="24"/>
          <w:szCs w:val="24"/>
        </w:rPr>
        <w:t>Piyungan</w:t>
      </w:r>
      <w:proofErr w:type="spellEnd"/>
      <w:r>
        <w:rPr>
          <w:rFonts w:ascii="Times New Roman" w:eastAsia="Times New Roman" w:hAnsi="Times New Roman" w:cs="Times New Roman"/>
          <w:color w:val="0E101A"/>
          <w:sz w:val="24"/>
          <w:szCs w:val="24"/>
        </w:rPr>
        <w:t xml:space="preserve"> landfill are not merely passive recipients of inadequate waste management practices; rather, they are marginalized actors within a system that systematically externalizes the burden of urban waste to politically vulnerable and geographically marginalized groups. Their experiences reflect underlying structural patterns, wherein social and ecological damage accumulates in areas characterized by limited political access and infrastructure.</w:t>
      </w:r>
    </w:p>
    <w:p w14:paraId="4FDC319C" w14:textId="0C6F71BD" w:rsidR="00E7226C" w:rsidRDefault="00F46DB7">
      <w:pPr>
        <w:spacing w:before="240" w:after="240"/>
        <w:ind w:firstLine="72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Moreover, this crisis must be situated within the global framework of urban development and environmental governance. In recent years, Yogyakarta has been frequently lauded as a leader in the development of sustainable urban areas, with a focus on the promotion of green infrastructure, digital tourism, and ecocultural innovation. These aspirations are heavily influenced by global sustainability discourses, including frameworks such as the Sustainable Development Goals (SDGs), UN-Habitat's New Urban Agenda, and various transnational environmental partnerships. However, an analysis of the situation on the ground reveals a paradox: while the city center pursues a "green" agenda, waste management in the suburbs remains archaic, exploitative, and unfair. The discrepancy between the established norm of commitment and its practical implementation signifies governance dissonance, a phenomenon in which the policy discourse deviates from the actual experiences of the community</w:t>
      </w:r>
      <w:sdt>
        <w:sdtPr>
          <w:rPr>
            <w:rFonts w:ascii="Times New Roman" w:eastAsia="Times New Roman" w:hAnsi="Times New Roman" w:cs="Times New Roman"/>
            <w:color w:val="000000"/>
            <w:sz w:val="24"/>
            <w:szCs w:val="24"/>
          </w:rPr>
          <w:tag w:val="MENDELEY_CITATION_v3_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"/>
          <w:id w:val="-1754195466"/>
          <w:placeholder>
            <w:docPart w:val="DefaultPlaceholder_-1854013440"/>
          </w:placeholder>
        </w:sdtPr>
        <w:sdtContent>
          <w:r w:rsidR="00057197" w:rsidRPr="00057197">
            <w:rPr>
              <w:rFonts w:ascii="Times New Roman" w:eastAsia="Times New Roman" w:hAnsi="Times New Roman" w:cs="Times New Roman"/>
              <w:color w:val="000000"/>
              <w:sz w:val="24"/>
              <w:szCs w:val="24"/>
            </w:rPr>
            <w:t>[3]</w:t>
          </w:r>
        </w:sdtContent>
      </w:sdt>
      <w:r>
        <w:rPr>
          <w:rFonts w:ascii="Times New Roman" w:eastAsia="Times New Roman" w:hAnsi="Times New Roman" w:cs="Times New Roman"/>
          <w:color w:val="0E101A"/>
          <w:sz w:val="24"/>
          <w:szCs w:val="24"/>
        </w:rPr>
        <w:t xml:space="preserve"> .</w:t>
      </w:r>
    </w:p>
    <w:p w14:paraId="4D681526" w14:textId="77777777" w:rsidR="00E7226C" w:rsidRDefault="00F46DB7">
      <w:pPr>
        <w:spacing w:before="240" w:after="240"/>
        <w:ind w:firstLine="72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A salient aspect of this discordance pertains to the procedural exclusion of local community participation in decision-making processes pertaining to waste management. The planning and management of the </w:t>
      </w:r>
      <w:proofErr w:type="spellStart"/>
      <w:r>
        <w:rPr>
          <w:rFonts w:ascii="Times New Roman" w:eastAsia="Times New Roman" w:hAnsi="Times New Roman" w:cs="Times New Roman"/>
          <w:color w:val="0E101A"/>
          <w:sz w:val="24"/>
          <w:szCs w:val="24"/>
        </w:rPr>
        <w:t>Piyungan</w:t>
      </w:r>
      <w:proofErr w:type="spellEnd"/>
      <w:r>
        <w:rPr>
          <w:rFonts w:ascii="Times New Roman" w:eastAsia="Times New Roman" w:hAnsi="Times New Roman" w:cs="Times New Roman"/>
          <w:color w:val="0E101A"/>
          <w:sz w:val="24"/>
          <w:szCs w:val="24"/>
        </w:rPr>
        <w:t xml:space="preserve"> landfill has been carried out in a top-down manner, with low levels of transparency and weak community participation. Nevertheless, it is imperative to acknowledge that they constitute the demographic most profoundly impacted. The community has minimal involvement in determining the future of the landfill, its operational standards, or the form of environmental compensation it should receive. This practice stands in direct opposition to the fundamental tenets of environmental democracy and perpetuates patterns of ecological injustice that engender socio-spatial inequality.</w:t>
      </w:r>
    </w:p>
    <w:p w14:paraId="2D0026BA" w14:textId="77777777" w:rsidR="00E7226C" w:rsidRDefault="00F46DB7">
      <w:pPr>
        <w:spacing w:before="240" w:after="240"/>
        <w:ind w:firstLine="72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lastRenderedPageBreak/>
        <w:t xml:space="preserve">Notwithstanding, the community surrounding the </w:t>
      </w:r>
      <w:proofErr w:type="spellStart"/>
      <w:r>
        <w:rPr>
          <w:rFonts w:ascii="Times New Roman" w:eastAsia="Times New Roman" w:hAnsi="Times New Roman" w:cs="Times New Roman"/>
          <w:color w:val="0E101A"/>
          <w:sz w:val="24"/>
          <w:szCs w:val="24"/>
        </w:rPr>
        <w:t>Piyungan</w:t>
      </w:r>
      <w:proofErr w:type="spellEnd"/>
      <w:r>
        <w:rPr>
          <w:rFonts w:ascii="Times New Roman" w:eastAsia="Times New Roman" w:hAnsi="Times New Roman" w:cs="Times New Roman"/>
          <w:color w:val="0E101A"/>
          <w:sz w:val="24"/>
          <w:szCs w:val="24"/>
        </w:rPr>
        <w:t xml:space="preserve"> landfill has exhibited noteworthy social resilience. Through grassroots mobilization, informal advocacy, and internal solidarity networks, they have developed a variety of adaptive strategies to survive the crisis. In response, community groups have established autonomous sanitation patrols, informal waste sorting cooperatives, and public protests to exert pressure on the local government. Despite frequently encountering limitations in resources and experiencing fragmentation, these endeavors exemplify the capacity of marginalized groups to establish collective agency in the face of structural neglect. </w:t>
      </w:r>
      <w:proofErr w:type="gramStart"/>
      <w:r>
        <w:rPr>
          <w:rFonts w:ascii="Times New Roman" w:eastAsia="Times New Roman" w:hAnsi="Times New Roman" w:cs="Times New Roman"/>
          <w:color w:val="0E101A"/>
          <w:sz w:val="24"/>
          <w:szCs w:val="24"/>
        </w:rPr>
        <w:t>This dynamic merits</w:t>
      </w:r>
      <w:proofErr w:type="gramEnd"/>
      <w:r>
        <w:rPr>
          <w:rFonts w:ascii="Times New Roman" w:eastAsia="Times New Roman" w:hAnsi="Times New Roman" w:cs="Times New Roman"/>
          <w:color w:val="0E101A"/>
          <w:sz w:val="24"/>
          <w:szCs w:val="24"/>
        </w:rPr>
        <w:t xml:space="preserve"> further scrutiny, both to document the forms of social resilience and to critique the systemic conditions that necessitate such resilience.</w:t>
      </w:r>
    </w:p>
    <w:p w14:paraId="79DA71D4" w14:textId="78128BB3" w:rsidR="00E7226C" w:rsidRDefault="00F46DB7">
      <w:pPr>
        <w:spacing w:before="240" w:after="240"/>
        <w:ind w:firstLine="72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From a relational international relations perspective, the </w:t>
      </w:r>
      <w:proofErr w:type="spellStart"/>
      <w:r>
        <w:rPr>
          <w:rFonts w:ascii="Times New Roman" w:eastAsia="Times New Roman" w:hAnsi="Times New Roman" w:cs="Times New Roman"/>
          <w:color w:val="0E101A"/>
          <w:sz w:val="24"/>
          <w:szCs w:val="24"/>
        </w:rPr>
        <w:t>Piyungan</w:t>
      </w:r>
      <w:proofErr w:type="spellEnd"/>
      <w:r>
        <w:rPr>
          <w:rFonts w:ascii="Times New Roman" w:eastAsia="Times New Roman" w:hAnsi="Times New Roman" w:cs="Times New Roman"/>
          <w:color w:val="0E101A"/>
          <w:sz w:val="24"/>
          <w:szCs w:val="24"/>
        </w:rPr>
        <w:t xml:space="preserve"> case also reflects how the global economy of waste and transnational environmental norms intersect with local governance practices. Indonesia is a participant in numerous international environmental agreements and has obtained technical and financial support for its waste management initiatives through bilateral and multilateral collaboration. For instance, the Japan International Cooperation Agency (JICA) has provided assistance in the realm of sanitation planning in urban areas of Java. Nevertheless, a considerable implementation gap persists. One potential explanation for this phenomenon is the incongruity between the technical models that are imported and the local socio-political contexts in which they are implemented. The </w:t>
      </w:r>
      <w:proofErr w:type="spellStart"/>
      <w:r>
        <w:rPr>
          <w:rFonts w:ascii="Times New Roman" w:eastAsia="Times New Roman" w:hAnsi="Times New Roman" w:cs="Times New Roman"/>
          <w:color w:val="0E101A"/>
          <w:sz w:val="24"/>
          <w:szCs w:val="24"/>
        </w:rPr>
        <w:t>Piyungan</w:t>
      </w:r>
      <w:proofErr w:type="spellEnd"/>
      <w:r>
        <w:rPr>
          <w:rFonts w:ascii="Times New Roman" w:eastAsia="Times New Roman" w:hAnsi="Times New Roman" w:cs="Times New Roman"/>
          <w:color w:val="0E101A"/>
          <w:sz w:val="24"/>
          <w:szCs w:val="24"/>
        </w:rPr>
        <w:t xml:space="preserve"> case demonstrates that external frameworks frequently neglect to address local vulnerabilities, thereby underscoring the imperative for a governance approach that is just, contextual, and participatory</w:t>
      </w:r>
      <w:r w:rsidR="00057197">
        <w:rPr>
          <w:rFonts w:ascii="Times New Roman" w:eastAsia="Times New Roman" w:hAnsi="Times New Roman" w:cs="Times New Roman"/>
          <w:color w:val="0E101A"/>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"/>
          <w:id w:val="-589545328"/>
          <w:placeholder>
            <w:docPart w:val="DefaultPlaceholder_-1854013440"/>
          </w:placeholder>
        </w:sdtPr>
        <w:sdtContent>
          <w:r w:rsidR="00057197" w:rsidRPr="00057197">
            <w:rPr>
              <w:rFonts w:ascii="Times New Roman" w:eastAsia="Times New Roman" w:hAnsi="Times New Roman" w:cs="Times New Roman"/>
              <w:color w:val="000000"/>
              <w:sz w:val="24"/>
              <w:szCs w:val="24"/>
            </w:rPr>
            <w:t>[4]</w:t>
          </w:r>
        </w:sdtContent>
      </w:sdt>
      <w:r>
        <w:rPr>
          <w:rFonts w:ascii="Times New Roman" w:eastAsia="Times New Roman" w:hAnsi="Times New Roman" w:cs="Times New Roman"/>
          <w:color w:val="0E101A"/>
          <w:sz w:val="24"/>
          <w:szCs w:val="24"/>
        </w:rPr>
        <w:t>.</w:t>
      </w:r>
    </w:p>
    <w:p w14:paraId="4C4DBE10" w14:textId="77777777" w:rsidR="00E7226C" w:rsidRDefault="00F46DB7">
      <w:pPr>
        <w:spacing w:before="240" w:after="240"/>
        <w:ind w:firstLine="72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The crisis has given rise to discourse surrounding the commodification and politicization of urban sustainability. In the context of cities vying for international investment, the "green" image has emerged as a strategic marketing instrument. However, this image frequently obscures the disparate distribution of environmental burdens. Peripheral areas such as </w:t>
      </w:r>
      <w:proofErr w:type="spellStart"/>
      <w:r>
        <w:rPr>
          <w:rFonts w:ascii="Times New Roman" w:eastAsia="Times New Roman" w:hAnsi="Times New Roman" w:cs="Times New Roman"/>
          <w:color w:val="0E101A"/>
          <w:sz w:val="24"/>
          <w:szCs w:val="24"/>
        </w:rPr>
        <w:t>Piyungan</w:t>
      </w:r>
      <w:proofErr w:type="spellEnd"/>
      <w:r>
        <w:rPr>
          <w:rFonts w:ascii="Times New Roman" w:eastAsia="Times New Roman" w:hAnsi="Times New Roman" w:cs="Times New Roman"/>
          <w:color w:val="0E101A"/>
          <w:sz w:val="24"/>
          <w:szCs w:val="24"/>
        </w:rPr>
        <w:t xml:space="preserve"> are often designated as sacrifice zones, wherein the ecological integrity of the city center is prioritized over the needs of these peripheral regions. This process is analogous to critiques of eco-modernism and sustainable urbanism, wherein sustainability is constrained to technical indicators such as reduced carbon emissions, while disregarding aspects of social equity and people's political voice.</w:t>
      </w:r>
    </w:p>
    <w:p w14:paraId="5D8142F4" w14:textId="77777777" w:rsidR="00E7226C" w:rsidRDefault="00F46DB7">
      <w:pPr>
        <w:spacing w:before="240" w:after="240"/>
        <w:ind w:firstLine="72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In academic discourse, the concept of social-ecological justice is increasingly employed as a corrective to the ambiguity present in sustainable development discourse. This concept presents a significant challenge to academics and policymakers, compelling them to analyze the distribution of environmental damage, the actors involved in environmental governance, and the recognition or disregard of their voices. In the context of waste management, this approach underscores not only technical efficiency, but also ethical and political dimensions: who benefits from the existing system? It is imperative to ascertain the entity that assumes the financial burden of these expenditures. Which </w:t>
      </w:r>
      <w:r>
        <w:rPr>
          <w:rFonts w:ascii="Times New Roman" w:eastAsia="Times New Roman" w:hAnsi="Times New Roman" w:cs="Times New Roman"/>
          <w:color w:val="0E101A"/>
          <w:sz w:val="24"/>
          <w:szCs w:val="24"/>
        </w:rPr>
        <w:lastRenderedPageBreak/>
        <w:t>historical and structural factors have given rise to these conditions? The present study is concerned with these questions.</w:t>
      </w:r>
    </w:p>
    <w:p w14:paraId="42F26DFF" w14:textId="77777777" w:rsidR="00E7226C" w:rsidRDefault="00F46DB7">
      <w:pPr>
        <w:spacing w:before="240" w:after="240"/>
        <w:ind w:firstLine="72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Consequently, the present study aims to address several knowledge gaps in the extant literature. First, it presents a contextual analysis of how ecological injustice is experienced and addressed by affected communities in Yogyakarta. Secondly, it situates these experiences within the broader framework of urban governance discourses and transnational norms, thereby unveiling the intricate interplay between local conditions and global pressures. Thirdly, the concept of community resilience is not presented as a romantic narrative, but rather as a lens for examining state accountability and policy failure. This study makes a significant contribution to the interdisciplinary discourse on environmental justice, urban resilience, and governance ethics in the Global South.</w:t>
      </w:r>
    </w:p>
    <w:p w14:paraId="6972A3EE" w14:textId="7A970329" w:rsidR="00E7226C" w:rsidRDefault="00F46DB7">
      <w:pPr>
        <w:spacing w:before="240" w:after="240"/>
        <w:ind w:firstLine="72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To guide this study, the researcher formulated the following main question: The objective of this study is to examine how the prevailing waste governance structure in Yogyakarta engenders and perpetuates socio-ecological injustice, with a particular focus on the </w:t>
      </w:r>
      <w:proofErr w:type="spellStart"/>
      <w:r>
        <w:rPr>
          <w:rFonts w:ascii="Times New Roman" w:eastAsia="Times New Roman" w:hAnsi="Times New Roman" w:cs="Times New Roman"/>
          <w:color w:val="0E101A"/>
          <w:sz w:val="24"/>
          <w:szCs w:val="24"/>
        </w:rPr>
        <w:t>Piyungan</w:t>
      </w:r>
      <w:proofErr w:type="spellEnd"/>
      <w:r>
        <w:rPr>
          <w:rFonts w:ascii="Times New Roman" w:eastAsia="Times New Roman" w:hAnsi="Times New Roman" w:cs="Times New Roman"/>
          <w:color w:val="0E101A"/>
          <w:sz w:val="24"/>
          <w:szCs w:val="24"/>
        </w:rPr>
        <w:t xml:space="preserve"> landfill crisis.</w:t>
      </w:r>
    </w:p>
    <w:p w14:paraId="5EB2D87F" w14:textId="505E0720" w:rsidR="00057197" w:rsidRPr="00057197" w:rsidRDefault="00F509AD" w:rsidP="00057197">
      <w:pPr>
        <w:pStyle w:val="Heading3"/>
        <w:rPr>
          <w:rFonts w:ascii="Times New Roman" w:hAnsi="Times New Roman" w:cs="Times New Roman"/>
        </w:rPr>
      </w:pPr>
      <w:r w:rsidRPr="00057197">
        <w:rPr>
          <w:rStyle w:val="Strong"/>
          <w:rFonts w:ascii="Times New Roman" w:hAnsi="Times New Roman" w:cs="Times New Roman"/>
          <w:b/>
          <w:bCs w:val="0"/>
        </w:rPr>
        <w:t>RESEARCH METHODOLOGY</w:t>
      </w:r>
    </w:p>
    <w:p w14:paraId="10F1F76A" w14:textId="68EBF3AB" w:rsidR="00057197" w:rsidRDefault="00057197" w:rsidP="00057197">
      <w:pPr>
        <w:spacing w:after="0"/>
        <w:ind w:firstLine="720"/>
        <w:jc w:val="both"/>
        <w:rPr>
          <w:rFonts w:ascii="Times New Roman" w:eastAsia="Times New Roman" w:hAnsi="Times New Roman" w:cs="Times New Roman"/>
          <w:sz w:val="24"/>
          <w:szCs w:val="24"/>
          <w:lang w:val="en-ID"/>
        </w:rPr>
      </w:pPr>
      <w:r w:rsidRPr="00057197">
        <w:rPr>
          <w:rFonts w:ascii="Times New Roman" w:eastAsia="Times New Roman" w:hAnsi="Times New Roman" w:cs="Times New Roman"/>
          <w:sz w:val="24"/>
          <w:szCs w:val="24"/>
          <w:lang w:val="en-ID"/>
        </w:rPr>
        <w:t xml:space="preserve">This study adopts a qualitative descriptive-analytical approach to examine the governance of urban waste </w:t>
      </w:r>
      <w:r>
        <w:rPr>
          <w:rFonts w:ascii="Times New Roman" w:eastAsia="Times New Roman" w:hAnsi="Times New Roman" w:cs="Times New Roman"/>
          <w:sz w:val="24"/>
          <w:szCs w:val="24"/>
          <w:lang w:val="en-ID"/>
        </w:rPr>
        <w:t>from</w:t>
      </w:r>
      <w:r w:rsidRPr="00057197">
        <w:rPr>
          <w:rFonts w:ascii="Times New Roman" w:eastAsia="Times New Roman" w:hAnsi="Times New Roman" w:cs="Times New Roman"/>
          <w:sz w:val="24"/>
          <w:szCs w:val="24"/>
          <w:lang w:val="en-ID"/>
        </w:rPr>
        <w:t xml:space="preserve"> the perspective of socio-ecological justice. The method is appropriate for capturing complex social dynamics and the lived experiences of marginalized communities. Data collection relies on secondary sources, including government reports, academic literature, and media publications. The analysis employs content and thematic techniques, guided by the three pillars of justice: distributive, procedural, and recognitional. In addition, the study is informed by insights from collaborative leadership theory, emphasizing the importance of inclusive, multi-actor engagement in addressing governance challenges</w:t>
      </w:r>
      <w:r>
        <w:rPr>
          <w:rFonts w:ascii="Times New Roman" w:eastAsia="Times New Roman" w:hAnsi="Times New Roman" w:cs="Times New Roman"/>
          <w:sz w:val="24"/>
          <w:szCs w:val="24"/>
          <w:lang w:val="en-ID"/>
        </w:rPr>
        <w:t xml:space="preserve">. </w:t>
      </w:r>
      <w:r w:rsidRPr="00057197">
        <w:rPr>
          <w:rFonts w:ascii="Times New Roman" w:eastAsia="Times New Roman" w:hAnsi="Times New Roman" w:cs="Times New Roman"/>
          <w:sz w:val="24"/>
          <w:szCs w:val="24"/>
          <w:lang w:val="en-ID"/>
        </w:rPr>
        <w:t>To enhance the study’s validity, source triangulation is applied by cross-examining policy documents, scholarly interpretations, and media narratives</w:t>
      </w:r>
      <w:r>
        <w:rPr>
          <w:rFonts w:ascii="Times New Roman" w:eastAsia="Times New Roman" w:hAnsi="Times New Roman" w:cs="Times New Roman"/>
          <w:sz w:val="24"/>
          <w:szCs w:val="24"/>
          <w:lang w:val="en-ID"/>
        </w:rPr>
        <w:t xml:space="preserve"> </w:t>
      </w:r>
      <w:sdt>
        <w:sdtPr>
          <w:rPr>
            <w:rFonts w:ascii="Times New Roman" w:eastAsia="Times New Roman" w:hAnsi="Times New Roman" w:cs="Times New Roman"/>
            <w:color w:val="000000"/>
            <w:sz w:val="24"/>
            <w:szCs w:val="24"/>
            <w:lang w:val="en-ID"/>
          </w:rPr>
          <w:tag w:val="MENDELEY_CITATION_v3_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"/>
          <w:id w:val="-184909289"/>
          <w:placeholder>
            <w:docPart w:val="DefaultPlaceholder_-1854013440"/>
          </w:placeholder>
        </w:sdtPr>
        <w:sdtContent>
          <w:r w:rsidRPr="00057197">
            <w:rPr>
              <w:rFonts w:ascii="Times New Roman" w:eastAsia="Times New Roman" w:hAnsi="Times New Roman" w:cs="Times New Roman"/>
              <w:color w:val="000000"/>
              <w:sz w:val="24"/>
              <w:szCs w:val="24"/>
              <w:lang w:val="en-ID"/>
            </w:rPr>
            <w:t>[5]</w:t>
          </w:r>
        </w:sdtContent>
      </w:sdt>
      <w:r>
        <w:rPr>
          <w:rFonts w:ascii="Times New Roman" w:eastAsia="Times New Roman" w:hAnsi="Times New Roman" w:cs="Times New Roman"/>
          <w:sz w:val="24"/>
          <w:szCs w:val="24"/>
          <w:lang w:val="en-ID"/>
        </w:rPr>
        <w:t xml:space="preserve"> .</w:t>
      </w:r>
    </w:p>
    <w:p w14:paraId="6F10EDCF" w14:textId="77777777" w:rsidR="00057197" w:rsidRDefault="00057197">
      <w:pPr>
        <w:spacing w:after="0"/>
        <w:jc w:val="both"/>
        <w:rPr>
          <w:rFonts w:ascii="Times New Roman" w:eastAsia="Times New Roman" w:hAnsi="Times New Roman" w:cs="Times New Roman"/>
          <w:sz w:val="24"/>
          <w:szCs w:val="24"/>
          <w:lang w:val="en-ID"/>
        </w:rPr>
      </w:pPr>
    </w:p>
    <w:p w14:paraId="3BA613C1" w14:textId="2DAD5E8C" w:rsidR="00E7226C" w:rsidRPr="00057197" w:rsidRDefault="00057197">
      <w:pPr>
        <w:spacing w:after="0"/>
        <w:jc w:val="both"/>
        <w:rPr>
          <w:rFonts w:ascii="Times New Roman" w:eastAsia="Times New Roman" w:hAnsi="Times New Roman" w:cs="Times New Roman"/>
          <w:b/>
          <w:bCs/>
          <w:color w:val="0E101A"/>
          <w:sz w:val="24"/>
          <w:szCs w:val="24"/>
        </w:rPr>
      </w:pPr>
      <w:r w:rsidRPr="00057197">
        <w:rPr>
          <w:rFonts w:ascii="Times New Roman" w:hAnsi="Times New Roman" w:cs="Times New Roman"/>
          <w:b/>
          <w:bCs/>
          <w:sz w:val="24"/>
          <w:szCs w:val="24"/>
        </w:rPr>
        <w:t>RESULTS, DISCUSSION, AND ANALYSIS</w:t>
      </w:r>
    </w:p>
    <w:p w14:paraId="6D50AC0D" w14:textId="77777777" w:rsidR="00E7226C" w:rsidRPr="00057197" w:rsidRDefault="00F46DB7">
      <w:pPr>
        <w:spacing w:after="0"/>
        <w:jc w:val="both"/>
        <w:rPr>
          <w:rFonts w:ascii="Times New Roman" w:eastAsia="Times New Roman" w:hAnsi="Times New Roman" w:cs="Times New Roman"/>
          <w:b/>
          <w:sz w:val="24"/>
          <w:szCs w:val="24"/>
        </w:rPr>
      </w:pPr>
      <w:r w:rsidRPr="00057197">
        <w:rPr>
          <w:rFonts w:ascii="Times New Roman" w:eastAsia="Times New Roman" w:hAnsi="Times New Roman" w:cs="Times New Roman"/>
          <w:b/>
          <w:sz w:val="24"/>
          <w:szCs w:val="24"/>
        </w:rPr>
        <w:t>Social-Ecological Justice Theory and Urban Waste Governance</w:t>
      </w:r>
    </w:p>
    <w:p w14:paraId="2FAA3088" w14:textId="504DB9A5" w:rsidR="00E7226C" w:rsidRDefault="00F46DB7">
      <w:pPr>
        <w:spacing w:after="0"/>
        <w:jc w:val="both"/>
        <w:rPr>
          <w:rFonts w:ascii="Times New Roman" w:eastAsia="Times New Roman" w:hAnsi="Times New Roman" w:cs="Times New Roman"/>
          <w:sz w:val="24"/>
          <w:szCs w:val="24"/>
        </w:rPr>
      </w:pPr>
      <w:r w:rsidRPr="00057197">
        <w:rPr>
          <w:rFonts w:ascii="Times New Roman" w:eastAsia="Times New Roman" w:hAnsi="Times New Roman" w:cs="Times New Roman"/>
          <w:sz w:val="24"/>
          <w:szCs w:val="24"/>
        </w:rPr>
        <w:t xml:space="preserve">                 In contemporary environmental studies, social-ecological justice has emerged as a seminal theoretical framework for understanding the nexus between environmental degradation and social inequality. This framework underscores the intertwined nature of these issues, demonstrating how environmental degradation</w:t>
      </w:r>
      <w:r>
        <w:rPr>
          <w:rFonts w:ascii="Times New Roman" w:eastAsia="Times New Roman" w:hAnsi="Times New Roman" w:cs="Times New Roman"/>
          <w:sz w:val="24"/>
          <w:szCs w:val="24"/>
        </w:rPr>
        <w:t xml:space="preserve"> impacts physical ecosystems and, in turn, fosters and perpetuates social inequalities. This concept underscores the necessity to assess sustainability beyond the confines of technical efficiency or emission reductions, emphasizing an examination through fundamental questions: who shouldered the ecological burden? Who was included in the decision-making process? And who was legitimately recognized in governance processes? The aforementioned three inquiries </w:t>
      </w:r>
      <w:r>
        <w:rPr>
          <w:rFonts w:ascii="Times New Roman" w:eastAsia="Times New Roman" w:hAnsi="Times New Roman" w:cs="Times New Roman"/>
          <w:sz w:val="24"/>
          <w:szCs w:val="24"/>
        </w:rPr>
        <w:lastRenderedPageBreak/>
        <w:t xml:space="preserve">constitute the foundational principles of the "just </w:t>
      </w:r>
      <w:proofErr w:type="spellStart"/>
      <w:r>
        <w:rPr>
          <w:rFonts w:ascii="Times New Roman" w:eastAsia="Times New Roman" w:hAnsi="Times New Roman" w:cs="Times New Roman"/>
          <w:sz w:val="24"/>
          <w:szCs w:val="24"/>
        </w:rPr>
        <w:t>sustainabilities</w:t>
      </w:r>
      <w:proofErr w:type="spellEnd"/>
      <w:r>
        <w:rPr>
          <w:rFonts w:ascii="Times New Roman" w:eastAsia="Times New Roman" w:hAnsi="Times New Roman" w:cs="Times New Roman"/>
          <w:sz w:val="24"/>
          <w:szCs w:val="24"/>
        </w:rPr>
        <w:t xml:space="preserve">" approach, as pioneered by Agyeman, Bullard, and Evans </w:t>
      </w:r>
      <w:sdt>
        <w:sdtPr>
          <w:rPr>
            <w:rFonts w:ascii="Times New Roman" w:eastAsia="Times New Roman" w:hAnsi="Times New Roman" w:cs="Times New Roman"/>
            <w:color w:val="000000"/>
            <w:sz w:val="24"/>
            <w:szCs w:val="24"/>
          </w:rPr>
          <w:tag w:val="MENDELEY_CITATION_v3_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
          <w:id w:val="484518951"/>
          <w:placeholder>
            <w:docPart w:val="DefaultPlaceholder_-1854013440"/>
          </w:placeholder>
        </w:sdtPr>
        <w:sdtContent>
          <w:r w:rsidR="00057197" w:rsidRPr="00057197">
            <w:rPr>
              <w:rFonts w:ascii="Times New Roman" w:eastAsia="Times New Roman" w:hAnsi="Times New Roman" w:cs="Times New Roman"/>
              <w:color w:val="000000"/>
              <w:sz w:val="24"/>
              <w:szCs w:val="24"/>
            </w:rPr>
            <w:t>[6]</w:t>
          </w:r>
        </w:sdtContent>
      </w:sdt>
      <w:r>
        <w:rPr>
          <w:rFonts w:ascii="Times New Roman" w:eastAsia="Times New Roman" w:hAnsi="Times New Roman" w:cs="Times New Roman"/>
          <w:sz w:val="24"/>
          <w:szCs w:val="24"/>
        </w:rPr>
        <w:t>.</w:t>
      </w:r>
    </w:p>
    <w:p w14:paraId="2F149F55" w14:textId="77777777" w:rsidR="00E7226C" w:rsidRDefault="00E7226C">
      <w:pPr>
        <w:spacing w:after="0"/>
        <w:jc w:val="both"/>
        <w:rPr>
          <w:rFonts w:ascii="Times New Roman" w:eastAsia="Times New Roman" w:hAnsi="Times New Roman" w:cs="Times New Roman"/>
          <w:sz w:val="24"/>
          <w:szCs w:val="24"/>
        </w:rPr>
      </w:pPr>
    </w:p>
    <w:p w14:paraId="4531561F" w14:textId="77777777" w:rsidR="00E7226C" w:rsidRDefault="00F46D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Conceptual framework of socio-ecological justice in urban waste governance.</w:t>
      </w:r>
    </w:p>
    <w:p w14:paraId="10C1BFBA" w14:textId="77777777" w:rsidR="00E7226C" w:rsidRDefault="00F46DB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rPr>
        <w:drawing>
          <wp:inline distT="114300" distB="114300" distL="114300" distR="114300" wp14:anchorId="7C1EEEE1" wp14:editId="49BF227A">
            <wp:extent cx="3081338" cy="3072987"/>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081338" cy="3072987"/>
                    </a:xfrm>
                    <a:prstGeom prst="rect">
                      <a:avLst/>
                    </a:prstGeom>
                    <a:ln/>
                  </pic:spPr>
                </pic:pic>
              </a:graphicData>
            </a:graphic>
          </wp:inline>
        </w:drawing>
      </w:r>
    </w:p>
    <w:p w14:paraId="73E4FB97" w14:textId="77777777" w:rsidR="00E7226C" w:rsidRDefault="00E7226C">
      <w:pPr>
        <w:spacing w:after="0"/>
        <w:jc w:val="center"/>
        <w:rPr>
          <w:rFonts w:ascii="Times New Roman" w:eastAsia="Times New Roman" w:hAnsi="Times New Roman" w:cs="Times New Roman"/>
          <w:sz w:val="24"/>
          <w:szCs w:val="24"/>
        </w:rPr>
      </w:pPr>
    </w:p>
    <w:p w14:paraId="3294B276" w14:textId="77777777" w:rsidR="00E7226C" w:rsidRDefault="00F46DB7">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Source: Author’s illustration based on Agyeman et al. </w:t>
      </w:r>
    </w:p>
    <w:p w14:paraId="0D8F3435" w14:textId="77777777"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approach, social-ecological justice consists of three fundamental pillars: distributive justice, procedural justice, and recognition justice. Distributive justice underscores the tendency for environmental burdens, including but not limited to pollution, odor, and health risks, to be concentrated in marginalized areas inhabited by groups with limited bargaining power. Procedural justice is concerned with the rights of communities to be involved in decision-making. In contrast, recognition justice is concerned with the importance of recognizing social groups that have been historically marginalized from public participation spaces. These three dimensions are of particular pertinence in evaluating the structural implementation of the urban waste management system, including in Yogyakarta.</w:t>
      </w:r>
    </w:p>
    <w:p w14:paraId="49D298D7" w14:textId="100BB61D"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principles of social-ecological justice have indeed been emphasized in international documents, including the New Urban Agenda from UN-Habitat and the 2030 Agenda for Sustainable Development </w:t>
      </w:r>
      <w:sdt>
        <w:sdtPr>
          <w:rPr>
            <w:rFonts w:ascii="Times New Roman" w:eastAsia="Times New Roman" w:hAnsi="Times New Roman" w:cs="Times New Roman"/>
            <w:color w:val="000000"/>
            <w:sz w:val="24"/>
            <w:szCs w:val="24"/>
          </w:rPr>
          <w:tag w:val="MENDELEY_CITATION_v3_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"/>
          <w:id w:val="-486554263"/>
          <w:placeholder>
            <w:docPart w:val="DefaultPlaceholder_-1854013440"/>
          </w:placeholder>
        </w:sdtPr>
        <w:sdtContent>
          <w:r w:rsidR="00057197" w:rsidRPr="00057197">
            <w:rPr>
              <w:rFonts w:ascii="Times New Roman" w:eastAsia="Times New Roman" w:hAnsi="Times New Roman" w:cs="Times New Roman"/>
              <w:color w:val="000000"/>
              <w:sz w:val="24"/>
              <w:szCs w:val="24"/>
            </w:rPr>
            <w:t>[7]</w:t>
          </w:r>
        </w:sdtContent>
      </w:sdt>
      <w:r>
        <w:rPr>
          <w:rFonts w:ascii="Times New Roman" w:eastAsia="Times New Roman" w:hAnsi="Times New Roman" w:cs="Times New Roman"/>
          <w:sz w:val="24"/>
          <w:szCs w:val="24"/>
        </w:rPr>
        <w:t xml:space="preserve">. The two frameworks under consideration both emphasize the need for inclusive, participatory, and equitable urban governance for all citizens. However, in local practice, the implementation of these principles often encounters challenges related to technocratic and exclusive governance. This phenomenon is exemplified by the management of the </w:t>
      </w:r>
      <w:proofErr w:type="spellStart"/>
      <w:r>
        <w:rPr>
          <w:rFonts w:ascii="Times New Roman" w:eastAsia="Times New Roman" w:hAnsi="Times New Roman" w:cs="Times New Roman"/>
          <w:sz w:val="24"/>
          <w:szCs w:val="24"/>
        </w:rPr>
        <w:t>Piyungan</w:t>
      </w:r>
      <w:proofErr w:type="spellEnd"/>
      <w:r>
        <w:rPr>
          <w:rFonts w:ascii="Times New Roman" w:eastAsia="Times New Roman" w:hAnsi="Times New Roman" w:cs="Times New Roman"/>
          <w:sz w:val="24"/>
          <w:szCs w:val="24"/>
        </w:rPr>
        <w:t xml:space="preserve"> TPA, where the residents who are in closest proximity to the impacted area are not granted the opportunity to determine the fate of their environment.</w:t>
      </w:r>
    </w:p>
    <w:p w14:paraId="2F3E43CD" w14:textId="1886F96E"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Cornea's research demonstrates the pivotal role of the informal sector in waste management in Global South cities, despite its lack of legal recognition. A similar phenomenon occurs in the vicinity of the </w:t>
      </w:r>
      <w:proofErr w:type="spellStart"/>
      <w:r>
        <w:rPr>
          <w:rFonts w:ascii="Times New Roman" w:eastAsia="Times New Roman" w:hAnsi="Times New Roman" w:cs="Times New Roman"/>
          <w:sz w:val="24"/>
          <w:szCs w:val="24"/>
        </w:rPr>
        <w:t>Piyungan</w:t>
      </w:r>
      <w:proofErr w:type="spellEnd"/>
      <w:r>
        <w:rPr>
          <w:rFonts w:ascii="Times New Roman" w:eastAsia="Times New Roman" w:hAnsi="Times New Roman" w:cs="Times New Roman"/>
          <w:sz w:val="24"/>
          <w:szCs w:val="24"/>
        </w:rPr>
        <w:t xml:space="preserve"> landfill, where communities establish cooperatives, waste banks, and other local initiatives, yet are not formally recognized as part of the official system. These practices exemplify a manifestation of community resilience that is compelled to manifest due to the absence of the state in its capacity to serve as a guardian of its citizens' fundamental ecological rights</w:t>
      </w:r>
      <w:sdt>
        <w:sdtPr>
          <w:rPr>
            <w:rFonts w:ascii="Times New Roman" w:eastAsia="Times New Roman" w:hAnsi="Times New Roman" w:cs="Times New Roman"/>
            <w:color w:val="000000"/>
            <w:sz w:val="24"/>
            <w:szCs w:val="24"/>
          </w:rPr>
          <w:tag w:val="MENDELEY_CITATION_v3_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"/>
          <w:id w:val="-685898685"/>
          <w:placeholder>
            <w:docPart w:val="DefaultPlaceholder_-1854013440"/>
          </w:placeholder>
        </w:sdtPr>
        <w:sdtContent>
          <w:r w:rsidR="00057197" w:rsidRPr="00057197">
            <w:rPr>
              <w:rFonts w:ascii="Times New Roman" w:eastAsia="Times New Roman" w:hAnsi="Times New Roman" w:cs="Times New Roman"/>
              <w:color w:val="000000"/>
              <w:sz w:val="24"/>
              <w:szCs w:val="24"/>
            </w:rPr>
            <w:t>[8]</w:t>
          </w:r>
        </w:sdtContent>
      </w:sdt>
      <w:r>
        <w:rPr>
          <w:rFonts w:ascii="Times New Roman" w:eastAsia="Times New Roman" w:hAnsi="Times New Roman" w:cs="Times New Roman"/>
          <w:sz w:val="24"/>
          <w:szCs w:val="24"/>
        </w:rPr>
        <w:t>.</w:t>
      </w:r>
    </w:p>
    <w:p w14:paraId="02BBE532" w14:textId="32A88FB1"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political ecology approach proposed by Loftus posits that waste management is never neutral; rather, it is a domain of conflict between the state, the private sector, and civil society. The strategic placement of landfills, the imposition of restrictions on access to information, and the disregard of citizen protests are all manifestations of domination in the governance of space and resources. Within the context of </w:t>
      </w:r>
      <w:proofErr w:type="spellStart"/>
      <w:r>
        <w:rPr>
          <w:rFonts w:ascii="Times New Roman" w:eastAsia="Times New Roman" w:hAnsi="Times New Roman" w:cs="Times New Roman"/>
          <w:sz w:val="24"/>
          <w:szCs w:val="24"/>
        </w:rPr>
        <w:t>Piyungan</w:t>
      </w:r>
      <w:proofErr w:type="spellEnd"/>
      <w:r>
        <w:rPr>
          <w:rFonts w:ascii="Times New Roman" w:eastAsia="Times New Roman" w:hAnsi="Times New Roman" w:cs="Times New Roman"/>
          <w:sz w:val="24"/>
          <w:szCs w:val="24"/>
        </w:rPr>
        <w:t>, the decision to extend the operational life of the landfill without open public consultation is indicative of systemic procedural inequality</w:t>
      </w:r>
      <w:sdt>
        <w:sdtPr>
          <w:rPr>
            <w:rFonts w:ascii="Times New Roman" w:eastAsia="Times New Roman" w:hAnsi="Times New Roman" w:cs="Times New Roman"/>
            <w:color w:val="000000"/>
            <w:sz w:val="24"/>
            <w:szCs w:val="24"/>
          </w:rPr>
          <w:tag w:val="MENDELEY_CITATION_v3_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"/>
          <w:id w:val="822163536"/>
          <w:placeholder>
            <w:docPart w:val="DefaultPlaceholder_-1854013440"/>
          </w:placeholder>
        </w:sdtPr>
        <w:sdtContent>
          <w:r w:rsidR="00057197" w:rsidRPr="00057197">
            <w:rPr>
              <w:rFonts w:ascii="Times New Roman" w:eastAsia="Times New Roman" w:hAnsi="Times New Roman" w:cs="Times New Roman"/>
              <w:color w:val="000000"/>
              <w:sz w:val="24"/>
              <w:szCs w:val="24"/>
            </w:rPr>
            <w:t>[8]</w:t>
          </w:r>
        </w:sdtContent>
      </w:sdt>
      <w:r>
        <w:rPr>
          <w:rFonts w:ascii="Times New Roman" w:eastAsia="Times New Roman" w:hAnsi="Times New Roman" w:cs="Times New Roman"/>
          <w:sz w:val="24"/>
          <w:szCs w:val="24"/>
        </w:rPr>
        <w:t>.</w:t>
      </w:r>
    </w:p>
    <w:p w14:paraId="7D545AD8" w14:textId="179BB131"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Moore advances the concept of </w:t>
      </w:r>
      <w:proofErr w:type="spellStart"/>
      <w:r>
        <w:rPr>
          <w:rFonts w:ascii="Times New Roman" w:eastAsia="Times New Roman" w:hAnsi="Times New Roman" w:cs="Times New Roman"/>
          <w:sz w:val="24"/>
          <w:szCs w:val="24"/>
        </w:rPr>
        <w:t>Piyungan</w:t>
      </w:r>
      <w:proofErr w:type="spellEnd"/>
      <w:r>
        <w:rPr>
          <w:rFonts w:ascii="Times New Roman" w:eastAsia="Times New Roman" w:hAnsi="Times New Roman" w:cs="Times New Roman"/>
          <w:sz w:val="24"/>
          <w:szCs w:val="24"/>
        </w:rPr>
        <w:t xml:space="preserve"> as an exemplar of the geography of disposability, a social construct wherein specific areas are deemed deserving of sacrifice to uphold the aesthetic standards and cleanliness of the city center. This signifies that the right to a healthy, clean, and dignified environment is inextricably linked to the prevention of waste disposal in the area. The social stigma against residents living in proximity to landfills, who are often stigmatized as part of the city's "problems," illuminates the symbolic violence that accompanies ecological violence.</w:t>
      </w:r>
    </w:p>
    <w:p w14:paraId="282E0CB4" w14:textId="41773173"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condition is exacerbated by governance dissonance, defined as an imbalance between narrative and practice. City administrations frequently adopt slogans such as "green city" or "smart city" to meet global sustainability standards, yet continue to neglect social sustainability in peripheral regions. Policies that appear inclusive in rhetoric are a reinforcement of exclusion when not accompanied by changes in power structures and real participatory mechanisms</w:t>
      </w:r>
      <w:sdt>
        <w:sdtPr>
          <w:rPr>
            <w:rFonts w:ascii="Times New Roman" w:eastAsia="Times New Roman" w:hAnsi="Times New Roman" w:cs="Times New Roman"/>
            <w:color w:val="000000"/>
            <w:sz w:val="24"/>
            <w:szCs w:val="24"/>
          </w:rPr>
          <w:tag w:val="MENDELEY_CITATION_v3_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"/>
          <w:id w:val="581193472"/>
          <w:placeholder>
            <w:docPart w:val="DefaultPlaceholder_-1854013440"/>
          </w:placeholder>
        </w:sdtPr>
        <w:sdtContent>
          <w:r w:rsidR="00057197" w:rsidRPr="00057197">
            <w:rPr>
              <w:rFonts w:ascii="Times New Roman" w:eastAsia="Times New Roman" w:hAnsi="Times New Roman" w:cs="Times New Roman"/>
              <w:color w:val="000000"/>
              <w:sz w:val="24"/>
              <w:szCs w:val="24"/>
            </w:rPr>
            <w:t>[9]</w:t>
          </w:r>
        </w:sdtContent>
      </w:sdt>
      <w:r w:rsidR="00057197">
        <w:rPr>
          <w:rFonts w:ascii="Times New Roman" w:eastAsia="Times New Roman" w:hAnsi="Times New Roman" w:cs="Times New Roman"/>
          <w:sz w:val="24"/>
          <w:szCs w:val="24"/>
        </w:rPr>
        <w:t xml:space="preserve"> .</w:t>
      </w:r>
    </w:p>
    <w:p w14:paraId="09AA2618" w14:textId="77777777"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that end, a paradigm shift is imperative from technocratic waste management to justice-based governance. This transformation entails more than merely embracing novel technological advancements or augmenting budgetary capacities; it signifies a paradigm shift in our understanding of citizens. Rather than perceiving them as passive recipients, we now acknowledge them as proactive agents in shaping the future of their environment. The legitimacy of policies is contingent upon the procedural and substantive recognition of communities.</w:t>
      </w:r>
    </w:p>
    <w:p w14:paraId="5F840BE2" w14:textId="4C054925"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establishing socio-ecological justice as a fundamental principle, the management of waste evolves from a mere matter of waste control to a means for fostering more equitable, humane, and genuinely sustainable urban environments. In the context of </w:t>
      </w:r>
      <w:proofErr w:type="spellStart"/>
      <w:r>
        <w:rPr>
          <w:rFonts w:ascii="Times New Roman" w:eastAsia="Times New Roman" w:hAnsi="Times New Roman" w:cs="Times New Roman"/>
          <w:sz w:val="24"/>
          <w:szCs w:val="24"/>
        </w:rPr>
        <w:t>Piyungan</w:t>
      </w:r>
      <w:proofErr w:type="spellEnd"/>
      <w:r>
        <w:rPr>
          <w:rFonts w:ascii="Times New Roman" w:eastAsia="Times New Roman" w:hAnsi="Times New Roman" w:cs="Times New Roman"/>
          <w:sz w:val="24"/>
          <w:szCs w:val="24"/>
        </w:rPr>
        <w:t xml:space="preserve"> Landfill, this necessitates the dismantling of closed decision-making systems, the </w:t>
      </w:r>
      <w:r>
        <w:rPr>
          <w:rFonts w:ascii="Times New Roman" w:eastAsia="Times New Roman" w:hAnsi="Times New Roman" w:cs="Times New Roman"/>
          <w:sz w:val="24"/>
          <w:szCs w:val="24"/>
        </w:rPr>
        <w:lastRenderedPageBreak/>
        <w:t>recognition of community contributions, and the equitable distribution of environmental burdens and benefits among all city residents</w:t>
      </w:r>
      <w:sdt>
        <w:sdtPr>
          <w:rPr>
            <w:rFonts w:ascii="Times New Roman" w:eastAsia="Times New Roman" w:hAnsi="Times New Roman" w:cs="Times New Roman"/>
            <w:color w:val="000000"/>
            <w:sz w:val="24"/>
            <w:szCs w:val="24"/>
          </w:rPr>
          <w:tag w:val="MENDELEY_CITATION_v3_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"/>
          <w:id w:val="-1648968962"/>
          <w:placeholder>
            <w:docPart w:val="DefaultPlaceholder_-1854013440"/>
          </w:placeholder>
        </w:sdtPr>
        <w:sdtContent>
          <w:r w:rsidR="00057197" w:rsidRPr="00057197">
            <w:rPr>
              <w:rFonts w:ascii="Times New Roman" w:eastAsia="Times New Roman" w:hAnsi="Times New Roman" w:cs="Times New Roman"/>
              <w:color w:val="000000"/>
              <w:sz w:val="24"/>
              <w:szCs w:val="24"/>
            </w:rPr>
            <w:t>[9]</w:t>
          </w:r>
        </w:sdtContent>
      </w:sdt>
      <w:r>
        <w:rPr>
          <w:rFonts w:ascii="Times New Roman" w:eastAsia="Times New Roman" w:hAnsi="Times New Roman" w:cs="Times New Roman"/>
          <w:sz w:val="24"/>
          <w:szCs w:val="24"/>
        </w:rPr>
        <w:t>.</w:t>
      </w:r>
    </w:p>
    <w:p w14:paraId="67C8BA89" w14:textId="77777777" w:rsidR="00E7226C" w:rsidRDefault="00F46DB7">
      <w:pPr>
        <w:spacing w:after="0"/>
        <w:ind w:right="9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Case Study of </w:t>
      </w:r>
      <w:proofErr w:type="spellStart"/>
      <w:r>
        <w:rPr>
          <w:rFonts w:ascii="Times New Roman" w:eastAsia="Times New Roman" w:hAnsi="Times New Roman" w:cs="Times New Roman"/>
          <w:b/>
          <w:sz w:val="24"/>
          <w:szCs w:val="24"/>
        </w:rPr>
        <w:t>Piyungan</w:t>
      </w:r>
      <w:proofErr w:type="spellEnd"/>
      <w:r>
        <w:rPr>
          <w:rFonts w:ascii="Times New Roman" w:eastAsia="Times New Roman" w:hAnsi="Times New Roman" w:cs="Times New Roman"/>
          <w:b/>
          <w:sz w:val="24"/>
          <w:szCs w:val="24"/>
        </w:rPr>
        <w:t xml:space="preserve"> Landfill and Peri-Urban Community Resilience</w:t>
      </w:r>
    </w:p>
    <w:p w14:paraId="1AA90705" w14:textId="159A2F21"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Piyungan</w:t>
      </w:r>
      <w:proofErr w:type="spellEnd"/>
      <w:r>
        <w:rPr>
          <w:rFonts w:ascii="Times New Roman" w:eastAsia="Times New Roman" w:hAnsi="Times New Roman" w:cs="Times New Roman"/>
          <w:sz w:val="24"/>
          <w:szCs w:val="24"/>
        </w:rPr>
        <w:t xml:space="preserve"> Final Disposal Site (TPA) in Bantul Regency, Special Region of Yogyakarta, has been a pivotal site in the dynamics of urban waste management in Yogyakarta for more than two decades. The TPA was initially opened in 1995 to accommodate domestic waste from three administrative areas: Yogyakarta City, Sleman, and Bantul. It was designed with a limited operational period, which was supposed to end in 2015. Nevertheless, the facility will continue to operate as the primary disposal site until 2025, despite having reached its technical maximum capacity on several occasions </w:t>
      </w:r>
      <w:sdt>
        <w:sdtPr>
          <w:rPr>
            <w:rFonts w:ascii="Times New Roman" w:eastAsia="Times New Roman" w:hAnsi="Times New Roman" w:cs="Times New Roman"/>
            <w:color w:val="000000"/>
            <w:sz w:val="24"/>
            <w:szCs w:val="24"/>
          </w:rPr>
          <w:tag w:val="MENDELEY_CITATION_v3_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"/>
          <w:id w:val="-334694195"/>
          <w:placeholder>
            <w:docPart w:val="DefaultPlaceholder_-1854013440"/>
          </w:placeholder>
        </w:sdtPr>
        <w:sdtContent>
          <w:r w:rsidR="00057197" w:rsidRPr="00057197">
            <w:rPr>
              <w:rFonts w:ascii="Times New Roman" w:eastAsia="Times New Roman" w:hAnsi="Times New Roman" w:cs="Times New Roman"/>
              <w:color w:val="000000"/>
              <w:sz w:val="24"/>
              <w:szCs w:val="24"/>
            </w:rPr>
            <w:t>[10]</w:t>
          </w:r>
        </w:sdtContent>
      </w:sdt>
      <w:r w:rsidR="00057197">
        <w:rPr>
          <w:rFonts w:ascii="Times New Roman" w:eastAsia="Times New Roman" w:hAnsi="Times New Roman" w:cs="Times New Roman"/>
          <w:sz w:val="24"/>
          <w:szCs w:val="24"/>
        </w:rPr>
        <w:t>.</w:t>
      </w:r>
    </w:p>
    <w:p w14:paraId="617EF7D9" w14:textId="78D45D6B"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ongoing extension of emergency functions without a permanent solution has led to systemic failures in long-term planning, as evidenced by the case of </w:t>
      </w:r>
      <w:proofErr w:type="spellStart"/>
      <w:r>
        <w:rPr>
          <w:rFonts w:ascii="Times New Roman" w:eastAsia="Times New Roman" w:hAnsi="Times New Roman" w:cs="Times New Roman"/>
          <w:sz w:val="24"/>
          <w:szCs w:val="24"/>
        </w:rPr>
        <w:t>Piyungan</w:t>
      </w:r>
      <w:proofErr w:type="spellEnd"/>
      <w:r>
        <w:rPr>
          <w:rFonts w:ascii="Times New Roman" w:eastAsia="Times New Roman" w:hAnsi="Times New Roman" w:cs="Times New Roman"/>
          <w:sz w:val="24"/>
          <w:szCs w:val="24"/>
        </w:rPr>
        <w:t xml:space="preserve"> TPA. The Yogyakarta Special Region Government has indeed issued various official statements regarding capacity restrictions; however, the pressure from the increasing volume of waste reaching more than 700 tons per day is not balanced by an integrated processing system or diversification of disposal locations. The descriptive data summarized in Table 1 demonstrates the intricacy of the socio-ecological crisis in this region, encompassing overcapacity, substantial environmental impacts, and community responses that are dichotomous, with active resistance and economic dependence on the same system. This table underscores the necessity to comprehend the issues at the </w:t>
      </w:r>
      <w:proofErr w:type="spellStart"/>
      <w:r>
        <w:rPr>
          <w:rFonts w:ascii="Times New Roman" w:eastAsia="Times New Roman" w:hAnsi="Times New Roman" w:cs="Times New Roman"/>
          <w:sz w:val="24"/>
          <w:szCs w:val="24"/>
        </w:rPr>
        <w:t>Piyungan</w:t>
      </w:r>
      <w:proofErr w:type="spellEnd"/>
      <w:r>
        <w:rPr>
          <w:rFonts w:ascii="Times New Roman" w:eastAsia="Times New Roman" w:hAnsi="Times New Roman" w:cs="Times New Roman"/>
          <w:sz w:val="24"/>
          <w:szCs w:val="24"/>
        </w:rPr>
        <w:t xml:space="preserve"> TPA not merely as technical problems, but as manifestations of broader socio-economic and political factors, including spatial inequality, governance issues, and the systematic marginalization of community perspectives</w:t>
      </w:r>
      <w:r w:rsidR="00057197">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"/>
          <w:id w:val="1705527629"/>
          <w:placeholder>
            <w:docPart w:val="DefaultPlaceholder_-1854013440"/>
          </w:placeholder>
        </w:sdtPr>
        <w:sdtContent>
          <w:r w:rsidR="00057197" w:rsidRPr="00057197">
            <w:rPr>
              <w:rFonts w:ascii="Times New Roman" w:eastAsia="Times New Roman" w:hAnsi="Times New Roman" w:cs="Times New Roman"/>
              <w:color w:val="000000"/>
              <w:sz w:val="24"/>
              <w:szCs w:val="24"/>
            </w:rPr>
            <w:t>[9]</w:t>
          </w:r>
        </w:sdtContent>
      </w:sdt>
      <w:r>
        <w:rPr>
          <w:rFonts w:ascii="Times New Roman" w:eastAsia="Times New Roman" w:hAnsi="Times New Roman" w:cs="Times New Roman"/>
          <w:sz w:val="24"/>
          <w:szCs w:val="24"/>
        </w:rPr>
        <w:t>.</w:t>
      </w:r>
    </w:p>
    <w:p w14:paraId="5EF7200A" w14:textId="77777777" w:rsidR="00E7226C" w:rsidRDefault="00F46DB7">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Descriptive Conditions of TPA </w:t>
      </w:r>
      <w:proofErr w:type="spellStart"/>
      <w:r>
        <w:rPr>
          <w:rFonts w:ascii="Times New Roman" w:eastAsia="Times New Roman" w:hAnsi="Times New Roman" w:cs="Times New Roman"/>
          <w:sz w:val="24"/>
          <w:szCs w:val="24"/>
        </w:rPr>
        <w:t>Piyungan</w:t>
      </w:r>
      <w:proofErr w:type="spellEnd"/>
    </w:p>
    <w:tbl>
      <w:tblPr>
        <w:tblStyle w:val="1"/>
        <w:tblW w:w="8115" w:type="dxa"/>
        <w:tblBorders>
          <w:top w:val="nil"/>
          <w:left w:val="nil"/>
          <w:bottom w:val="nil"/>
          <w:right w:val="nil"/>
          <w:insideH w:val="nil"/>
          <w:insideV w:val="nil"/>
        </w:tblBorders>
        <w:tblLayout w:type="fixed"/>
        <w:tblLook w:val="0600" w:firstRow="0" w:lastRow="0" w:firstColumn="0" w:lastColumn="0" w:noHBand="1" w:noVBand="1"/>
      </w:tblPr>
      <w:tblGrid>
        <w:gridCol w:w="2505"/>
        <w:gridCol w:w="5610"/>
      </w:tblGrid>
      <w:tr w:rsidR="00E7226C" w14:paraId="0E29BD33" w14:textId="77777777">
        <w:trPr>
          <w:trHeight w:val="515"/>
        </w:trPr>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95022A" w14:textId="77777777" w:rsidR="00E7226C" w:rsidRDefault="00F46DB7">
            <w:pPr>
              <w:spacing w:before="240" w:after="240"/>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Aspect</w:t>
            </w: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80D9A0" w14:textId="77777777" w:rsidR="00E7226C" w:rsidRDefault="00F46DB7">
            <w:pPr>
              <w:spacing w:before="240" w:after="240"/>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Description</w:t>
            </w:r>
          </w:p>
        </w:tc>
      </w:tr>
      <w:tr w:rsidR="00E7226C" w14:paraId="6956810F" w14:textId="77777777">
        <w:trPr>
          <w:trHeight w:val="515"/>
        </w:trPr>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4BFA8E" w14:textId="77777777" w:rsidR="00E7226C" w:rsidRDefault="00F46DB7">
            <w:pPr>
              <w:spacing w:before="240" w:after="240"/>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Location</w:t>
            </w: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D82028" w14:textId="77777777" w:rsidR="00E7226C" w:rsidRDefault="00F46DB7">
            <w:pPr>
              <w:spacing w:before="240" w:after="240"/>
              <w:ind w:firstLine="72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Kalurahan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Sitimulyo</w:t>
            </w:r>
            <w:proofErr w:type="spellEnd"/>
            <w:r>
              <w:rPr>
                <w:rFonts w:ascii="Times New Roman" w:eastAsia="Times New Roman" w:hAnsi="Times New Roman" w:cs="Times New Roman"/>
                <w:sz w:val="24"/>
                <w:szCs w:val="24"/>
              </w:rPr>
              <w:t>, Bantul, DIY</w:t>
            </w:r>
          </w:p>
        </w:tc>
      </w:tr>
      <w:tr w:rsidR="00E7226C" w14:paraId="1BC924FB" w14:textId="77777777">
        <w:trPr>
          <w:trHeight w:val="515"/>
        </w:trPr>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A2172F" w14:textId="77777777" w:rsidR="00E7226C" w:rsidRDefault="00F46DB7">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Year of Establishment</w:t>
            </w: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602DC9" w14:textId="77777777" w:rsidR="00E7226C" w:rsidRDefault="00F46DB7">
            <w:pPr>
              <w:spacing w:before="240" w:after="240"/>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1995 (designed to close by 2015, still operating)</w:t>
            </w:r>
          </w:p>
        </w:tc>
      </w:tr>
      <w:tr w:rsidR="00E7226C" w14:paraId="39D40B71" w14:textId="77777777">
        <w:trPr>
          <w:trHeight w:val="515"/>
        </w:trPr>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9C6410" w14:textId="77777777" w:rsidR="00E7226C" w:rsidRDefault="00F46DB7">
            <w:pPr>
              <w:spacing w:before="240" w:after="240"/>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Service Area</w:t>
            </w: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B77A1A" w14:textId="77777777" w:rsidR="00E7226C" w:rsidRDefault="00F46DB7">
            <w:pPr>
              <w:spacing w:before="240" w:after="240"/>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Yogyakarta City, Sleman, Bantul</w:t>
            </w:r>
          </w:p>
        </w:tc>
      </w:tr>
      <w:tr w:rsidR="00E7226C" w14:paraId="4EBD2A36" w14:textId="77777777">
        <w:trPr>
          <w:trHeight w:val="515"/>
        </w:trPr>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C7B948" w14:textId="77777777" w:rsidR="00E7226C" w:rsidRDefault="00F46DB7">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Daily Waste Volume</w:t>
            </w: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1BC0B9" w14:textId="77777777" w:rsidR="00E7226C" w:rsidRDefault="00F46DB7">
            <w:pPr>
              <w:spacing w:before="240" w:after="240"/>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±700 tons/day </w:t>
            </w:r>
          </w:p>
        </w:tc>
      </w:tr>
      <w:tr w:rsidR="00E7226C" w14:paraId="462E7C54" w14:textId="77777777">
        <w:trPr>
          <w:trHeight w:val="515"/>
        </w:trPr>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092B83" w14:textId="77777777" w:rsidR="00E7226C" w:rsidRDefault="00F46DB7">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Condition</w:t>
            </w: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D72EE2" w14:textId="77777777" w:rsidR="00E7226C" w:rsidRDefault="00F46DB7">
            <w:pPr>
              <w:spacing w:before="240" w:after="240"/>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Emergency zone in effect, overcapacity </w:t>
            </w:r>
          </w:p>
        </w:tc>
      </w:tr>
      <w:tr w:rsidR="00E7226C" w14:paraId="5DD8D03D" w14:textId="77777777">
        <w:trPr>
          <w:trHeight w:val="515"/>
        </w:trPr>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646F65" w14:textId="77777777" w:rsidR="00E7226C" w:rsidRDefault="00F46DB7">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Impact</w:t>
            </w: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12371B" w14:textId="77777777" w:rsidR="00E7226C" w:rsidRDefault="00F46DB7">
            <w:pPr>
              <w:spacing w:before="240" w:after="240"/>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Odor, ISPA, groundwater pollution </w:t>
            </w:r>
          </w:p>
        </w:tc>
      </w:tr>
      <w:tr w:rsidR="00E7226C" w14:paraId="6E441D71" w14:textId="77777777">
        <w:trPr>
          <w:trHeight w:val="515"/>
        </w:trPr>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B99CAF" w14:textId="77777777" w:rsidR="00E7226C" w:rsidRDefault="00F46DB7">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Response</w:t>
            </w: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BCCE53" w14:textId="77777777" w:rsidR="00E7226C" w:rsidRDefault="00F46DB7">
            <w:pPr>
              <w:spacing w:before="240" w:after="240"/>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Road blockades, protests, media advocacy </w:t>
            </w:r>
          </w:p>
        </w:tc>
      </w:tr>
      <w:tr w:rsidR="00E7226C" w14:paraId="0CB7A4AC" w14:textId="77777777">
        <w:trPr>
          <w:trHeight w:val="515"/>
        </w:trPr>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2A6958" w14:textId="77777777" w:rsidR="00E7226C" w:rsidRDefault="00F46DB7">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Compensation Scheme</w:t>
            </w: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182105" w14:textId="77777777" w:rsidR="00E7226C" w:rsidRDefault="00F46DB7">
            <w:pPr>
              <w:spacing w:before="240" w:after="240"/>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Temporary aid, unsystematic support </w:t>
            </w:r>
          </w:p>
        </w:tc>
      </w:tr>
      <w:tr w:rsidR="00E7226C" w14:paraId="78AD02CC" w14:textId="77777777">
        <w:trPr>
          <w:trHeight w:val="515"/>
        </w:trPr>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350484" w14:textId="77777777" w:rsidR="00E7226C" w:rsidRDefault="00F46DB7">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Public Participation</w:t>
            </w: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FB3856" w14:textId="77777777" w:rsidR="00E7226C" w:rsidRDefault="00F46DB7">
            <w:pPr>
              <w:spacing w:before="240" w:after="240"/>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One-sided socialization, lack of dialogue </w:t>
            </w:r>
          </w:p>
        </w:tc>
      </w:tr>
      <w:tr w:rsidR="00E7226C" w14:paraId="219F5B47" w14:textId="77777777">
        <w:trPr>
          <w:trHeight w:val="515"/>
        </w:trPr>
        <w:tc>
          <w:tcPr>
            <w:tcW w:w="25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5137DC" w14:textId="77777777" w:rsidR="00E7226C" w:rsidRDefault="00F46DB7">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Initiatives</w:t>
            </w:r>
          </w:p>
        </w:tc>
        <w:tc>
          <w:tcPr>
            <w:tcW w:w="5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D8AE30" w14:textId="4EF88CEB" w:rsidR="00E7226C" w:rsidRDefault="00F46DB7">
            <w:pPr>
              <w:spacing w:before="240" w:after="240"/>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Waste banks, citizen patrols, </w:t>
            </w:r>
            <w:r w:rsidR="00572E4A">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local media activism </w:t>
            </w:r>
          </w:p>
        </w:tc>
      </w:tr>
    </w:tbl>
    <w:p w14:paraId="797D8596" w14:textId="77777777" w:rsidR="00E7226C" w:rsidRDefault="00F46DB7">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Author's compilation based on references.</w:t>
      </w:r>
    </w:p>
    <w:p w14:paraId="5F7AC0AE" w14:textId="27C5A9CF"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Piyungan</w:t>
      </w:r>
      <w:proofErr w:type="spellEnd"/>
      <w:r>
        <w:rPr>
          <w:rFonts w:ascii="Times New Roman" w:eastAsia="Times New Roman" w:hAnsi="Times New Roman" w:cs="Times New Roman"/>
          <w:sz w:val="24"/>
          <w:szCs w:val="24"/>
        </w:rPr>
        <w:t xml:space="preserve"> TPA is geographically classified as a peri-urban area, signifying a transitional zone between rural and urban regions. In many cases, areas like this tend to experience overlapping land use, weak environmental legal protection, and are vulnerable to externalization of the impacts of urban development. The residents of </w:t>
      </w:r>
      <w:proofErr w:type="spellStart"/>
      <w:r>
        <w:rPr>
          <w:rFonts w:ascii="Times New Roman" w:eastAsia="Times New Roman" w:hAnsi="Times New Roman" w:cs="Times New Roman"/>
          <w:sz w:val="24"/>
          <w:szCs w:val="24"/>
        </w:rPr>
        <w:t>Sitimulyo</w:t>
      </w:r>
      <w:proofErr w:type="spellEnd"/>
      <w:r>
        <w:rPr>
          <w:rFonts w:ascii="Times New Roman" w:eastAsia="Times New Roman" w:hAnsi="Times New Roman" w:cs="Times New Roman"/>
          <w:sz w:val="24"/>
          <w:szCs w:val="24"/>
        </w:rPr>
        <w:t xml:space="preserve"> Village and the surrounding area confront a series of challenges, including the presence of accumulating waste, deteriorating air quality, diminishing land economic value, and limited access to environmental amenities. In this context, ecological inequality manifests in a tangible and observable manner</w:t>
      </w:r>
      <w:sdt>
        <w:sdtPr>
          <w:rPr>
            <w:rFonts w:ascii="Times New Roman" w:eastAsia="Times New Roman" w:hAnsi="Times New Roman" w:cs="Times New Roman"/>
            <w:color w:val="000000"/>
            <w:sz w:val="24"/>
            <w:szCs w:val="24"/>
          </w:rPr>
          <w:tag w:val="MENDELEY_CITATION_v3_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"/>
          <w:id w:val="1177610064"/>
          <w:placeholder>
            <w:docPart w:val="DefaultPlaceholder_-1854013440"/>
          </w:placeholder>
        </w:sdtPr>
        <w:sdtContent>
          <w:r w:rsidR="00057197" w:rsidRPr="00057197">
            <w:rPr>
              <w:rFonts w:ascii="Times New Roman" w:eastAsia="Times New Roman" w:hAnsi="Times New Roman" w:cs="Times New Roman"/>
              <w:color w:val="000000"/>
              <w:sz w:val="24"/>
              <w:szCs w:val="24"/>
            </w:rPr>
            <w:t>[11]</w:t>
          </w:r>
        </w:sdtContent>
      </w:sdt>
      <w:r>
        <w:rPr>
          <w:rFonts w:ascii="Times New Roman" w:eastAsia="Times New Roman" w:hAnsi="Times New Roman" w:cs="Times New Roman"/>
          <w:sz w:val="24"/>
          <w:szCs w:val="24"/>
        </w:rPr>
        <w:t>.</w:t>
      </w:r>
    </w:p>
    <w:p w14:paraId="033EB05A" w14:textId="281FB277"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pervasive odors of methane gas, the rising incidence of acute respiratory infections and skin diseases, and the contamination of groundwater are not merely incidental to the concept of a "green city." The DIY government itself acknowledges that the operational impact of the TPA has surpassed the limits of community tolerance</w:t>
      </w:r>
      <w:r w:rsidR="000571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multitude of grievances have been lodged, including through persistent demonstrations by residents over the past two years. In February 2025, residents once again impeded the entry of garbage trucks, thereby expressing their disapproval of the TPA's operations. This action </w:t>
      </w:r>
      <w:r>
        <w:rPr>
          <w:rFonts w:ascii="Times New Roman" w:eastAsia="Times New Roman" w:hAnsi="Times New Roman" w:cs="Times New Roman"/>
          <w:sz w:val="24"/>
          <w:szCs w:val="24"/>
        </w:rPr>
        <w:lastRenderedPageBreak/>
        <w:t xml:space="preserve">was perceived as a manifestation of the residents' discontent with the perceived lack of transparency and the perceived detrimental impact of the TPA's operations </w:t>
      </w:r>
      <w:sdt>
        <w:sdtPr>
          <w:rPr>
            <w:rFonts w:ascii="Times New Roman" w:eastAsia="Times New Roman" w:hAnsi="Times New Roman" w:cs="Times New Roman"/>
            <w:color w:val="000000"/>
            <w:sz w:val="24"/>
            <w:szCs w:val="24"/>
          </w:rPr>
          <w:tag w:val="MENDELEY_CITATION_v3_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"/>
          <w:id w:val="1343752573"/>
          <w:placeholder>
            <w:docPart w:val="DefaultPlaceholder_-1854013440"/>
          </w:placeholder>
        </w:sdtPr>
        <w:sdtContent>
          <w:r w:rsidR="00057197" w:rsidRPr="00057197">
            <w:rPr>
              <w:rFonts w:ascii="Times New Roman" w:eastAsia="Times New Roman" w:hAnsi="Times New Roman" w:cs="Times New Roman"/>
              <w:color w:val="000000"/>
              <w:sz w:val="24"/>
              <w:szCs w:val="24"/>
            </w:rPr>
            <w:t>[11]</w:t>
          </w:r>
        </w:sdtContent>
      </w:sdt>
      <w:r>
        <w:rPr>
          <w:rFonts w:ascii="Times New Roman" w:eastAsia="Times New Roman" w:hAnsi="Times New Roman" w:cs="Times New Roman"/>
          <w:sz w:val="24"/>
          <w:szCs w:val="24"/>
        </w:rPr>
        <w:t>.</w:t>
      </w:r>
    </w:p>
    <w:p w14:paraId="170017B5" w14:textId="5180DE0D"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these acts of resistance are predicated on a vulnerability that is intricately intertwined with the economic dependence of the community on the existence of the TPA. As demonstrated in the research conducted by </w:t>
      </w:r>
      <w:proofErr w:type="spellStart"/>
      <w:r>
        <w:rPr>
          <w:rFonts w:ascii="Times New Roman" w:eastAsia="Times New Roman" w:hAnsi="Times New Roman" w:cs="Times New Roman"/>
          <w:sz w:val="24"/>
          <w:szCs w:val="24"/>
        </w:rPr>
        <w:t>Riyadi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Murtiningsih</w:t>
      </w:r>
      <w:proofErr w:type="spellEnd"/>
      <w:r>
        <w:rPr>
          <w:rFonts w:ascii="Times New Roman" w:eastAsia="Times New Roman" w:hAnsi="Times New Roman" w:cs="Times New Roman"/>
          <w:sz w:val="24"/>
          <w:szCs w:val="24"/>
        </w:rPr>
        <w:t>, a subset of residents derives income from activities associated with the operation of the TPA. These activities include scavenging, guarding the gates, and conducting small business operations in the surrounding area. This predicament gives rise to a multifaceted sense of ambivalence, as residents simultaneously voice concerns regarding pollution and health concerns while concurrently maintaining their economic dependence on activities associated with the TPA. This suggests that the peri-urban community is not a homogeneous entity that collectively rejects the presence of the TPA. Rather, it is a social entity with internal dynamics influenced by uneven economic and social structures</w:t>
      </w:r>
      <w:sdt>
        <w:sdtPr>
          <w:rPr>
            <w:rFonts w:ascii="Times New Roman" w:eastAsia="Times New Roman" w:hAnsi="Times New Roman" w:cs="Times New Roman"/>
            <w:color w:val="000000"/>
            <w:sz w:val="24"/>
            <w:szCs w:val="24"/>
          </w:rPr>
          <w:tag w:val="MENDELEY_CITATION_v3_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"/>
          <w:id w:val="725798162"/>
          <w:placeholder>
            <w:docPart w:val="DefaultPlaceholder_-1854013440"/>
          </w:placeholder>
        </w:sdtPr>
        <w:sdtContent>
          <w:r w:rsidR="00057197" w:rsidRPr="00057197">
            <w:rPr>
              <w:rFonts w:ascii="Times New Roman" w:eastAsia="Times New Roman" w:hAnsi="Times New Roman" w:cs="Times New Roman"/>
              <w:color w:val="000000"/>
              <w:sz w:val="24"/>
              <w:szCs w:val="24"/>
            </w:rPr>
            <w:t>[12]</w:t>
          </w:r>
        </w:sdtContent>
      </w:sdt>
      <w:r>
        <w:rPr>
          <w:rFonts w:ascii="Times New Roman" w:eastAsia="Times New Roman" w:hAnsi="Times New Roman" w:cs="Times New Roman"/>
          <w:sz w:val="24"/>
          <w:szCs w:val="24"/>
        </w:rPr>
        <w:t>.</w:t>
      </w:r>
    </w:p>
    <w:p w14:paraId="799A3845" w14:textId="6247AE43"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Community resilience in this context is defined not solely by the capacity to endure passively but rather by the community's mobilization of local knowledge, social solidarity, and informal initiatives in response to the ongoing crisis. As </w:t>
      </w:r>
      <w:proofErr w:type="spellStart"/>
      <w:r>
        <w:rPr>
          <w:rFonts w:ascii="Times New Roman" w:eastAsia="Times New Roman" w:hAnsi="Times New Roman" w:cs="Times New Roman"/>
          <w:sz w:val="24"/>
          <w:szCs w:val="24"/>
        </w:rPr>
        <w:t>Hapsari</w:t>
      </w:r>
      <w:proofErr w:type="spellEnd"/>
      <w:r>
        <w:rPr>
          <w:rFonts w:ascii="Times New Roman" w:eastAsia="Times New Roman" w:hAnsi="Times New Roman" w:cs="Times New Roman"/>
          <w:sz w:val="24"/>
          <w:szCs w:val="24"/>
        </w:rPr>
        <w:t xml:space="preserve"> explains, forms of local adaptation, including the establishment of community-based waste banks, odor monitoring by citizen groups, and the use of social media as an advocacy tool, demonstrate that socio-ecological resilience does not result from state intervention, but rather from the urgent need to protect fundamental rights to a decent living environment</w:t>
      </w:r>
      <w:sdt>
        <w:sdtPr>
          <w:rPr>
            <w:rFonts w:ascii="Times New Roman" w:eastAsia="Times New Roman" w:hAnsi="Times New Roman" w:cs="Times New Roman"/>
            <w:color w:val="000000"/>
            <w:sz w:val="24"/>
            <w:szCs w:val="24"/>
          </w:rPr>
          <w:tag w:val="MENDELEY_CITATION_v3_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"/>
          <w:id w:val="1599298311"/>
          <w:placeholder>
            <w:docPart w:val="DefaultPlaceholder_-1854013440"/>
          </w:placeholder>
        </w:sdtPr>
        <w:sdtContent>
          <w:r w:rsidR="00057197" w:rsidRPr="00057197">
            <w:rPr>
              <w:rFonts w:ascii="Times New Roman" w:eastAsia="Times New Roman" w:hAnsi="Times New Roman" w:cs="Times New Roman"/>
              <w:color w:val="000000"/>
              <w:sz w:val="24"/>
              <w:szCs w:val="24"/>
            </w:rPr>
            <w:t>[12]</w:t>
          </w:r>
        </w:sdtContent>
      </w:sdt>
      <w:r>
        <w:rPr>
          <w:rFonts w:ascii="Times New Roman" w:eastAsia="Times New Roman" w:hAnsi="Times New Roman" w:cs="Times New Roman"/>
          <w:sz w:val="24"/>
          <w:szCs w:val="24"/>
        </w:rPr>
        <w:t>.</w:t>
      </w:r>
    </w:p>
    <w:p w14:paraId="2C6DA4C8" w14:textId="6D3031FE"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Local governments are subject to dual pressures. On the one hand, they are obligated to adhere to national and international sustainability targets as outlined in the 2030 SDGs and domestic waste management commitments. Conversely, they are compelled to address the concerns of local communities, who perceive that their interests are being compromised for the sake of a green city image. However, the government's response has been more administrative and short-term, such as opening new emergency cells or adding heavy equipment units. However, there is a paucity of strategic initiatives that genuinely engage residents in the redesign of the waste management system in its entirety</w:t>
      </w:r>
      <w:sdt>
        <w:sdtPr>
          <w:rPr>
            <w:rFonts w:ascii="Times New Roman" w:eastAsia="Times New Roman" w:hAnsi="Times New Roman" w:cs="Times New Roman"/>
            <w:color w:val="000000"/>
            <w:sz w:val="24"/>
            <w:szCs w:val="24"/>
          </w:rPr>
          <w:tag w:val="MENDELEY_CITATION_v3_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"/>
          <w:id w:val="-1537814225"/>
          <w:placeholder>
            <w:docPart w:val="DefaultPlaceholder_-1854013440"/>
          </w:placeholder>
        </w:sdtPr>
        <w:sdtContent>
          <w:r w:rsidR="00057197" w:rsidRPr="00057197">
            <w:rPr>
              <w:rFonts w:ascii="Times New Roman" w:eastAsia="Times New Roman" w:hAnsi="Times New Roman" w:cs="Times New Roman"/>
              <w:color w:val="000000"/>
              <w:sz w:val="24"/>
              <w:szCs w:val="24"/>
            </w:rPr>
            <w:t>[13]</w:t>
          </w:r>
        </w:sdtContent>
      </w:sdt>
      <w:r>
        <w:rPr>
          <w:rFonts w:ascii="Times New Roman" w:eastAsia="Times New Roman" w:hAnsi="Times New Roman" w:cs="Times New Roman"/>
          <w:sz w:val="24"/>
          <w:szCs w:val="24"/>
        </w:rPr>
        <w:t>.</w:t>
      </w:r>
    </w:p>
    <w:p w14:paraId="05574DEC" w14:textId="77777777"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claims of public participation frequently articulated by the government are often not aligned with established practices in the field. Program socialization is carried out unilaterally, failing to address substantive concerns from residents regarding land status, health risks, and the future of the area. The absence of a substantial consultation process underscores the deficiencies in the procedural justice dimension of environmental governance at the </w:t>
      </w:r>
      <w:proofErr w:type="spellStart"/>
      <w:r>
        <w:rPr>
          <w:rFonts w:ascii="Times New Roman" w:eastAsia="Times New Roman" w:hAnsi="Times New Roman" w:cs="Times New Roman"/>
          <w:sz w:val="24"/>
          <w:szCs w:val="24"/>
        </w:rPr>
        <w:t>Piyungan</w:t>
      </w:r>
      <w:proofErr w:type="spellEnd"/>
      <w:r>
        <w:rPr>
          <w:rFonts w:ascii="Times New Roman" w:eastAsia="Times New Roman" w:hAnsi="Times New Roman" w:cs="Times New Roman"/>
          <w:sz w:val="24"/>
          <w:szCs w:val="24"/>
        </w:rPr>
        <w:t xml:space="preserve"> TPA. Indeed, within the framework of socio-ecological justice, citizen involvement in the planning and decision-making process is a fundamental principle that cannot be negotiated.</w:t>
      </w:r>
    </w:p>
    <w:p w14:paraId="0155123B" w14:textId="781FB729"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absence of structured, long-term compensation also serves to reinforce feelings of exclusion. The provision of assistance, including the distribution of masks and the </w:t>
      </w:r>
      <w:r>
        <w:rPr>
          <w:rFonts w:ascii="Times New Roman" w:eastAsia="Times New Roman" w:hAnsi="Times New Roman" w:cs="Times New Roman"/>
          <w:sz w:val="24"/>
          <w:szCs w:val="24"/>
        </w:rPr>
        <w:lastRenderedPageBreak/>
        <w:t xml:space="preserve">implementation of complementary health assessments, is characterized by its transient and sporadic nature. In numerous countries, the establishment of landfill facilities is often accompanied by community-benefit agreements that ensure access to fundamental social services, local infrastructure investment, or economic empowerment of residents. In </w:t>
      </w:r>
      <w:proofErr w:type="spellStart"/>
      <w:r>
        <w:rPr>
          <w:rFonts w:ascii="Times New Roman" w:eastAsia="Times New Roman" w:hAnsi="Times New Roman" w:cs="Times New Roman"/>
          <w:sz w:val="24"/>
          <w:szCs w:val="24"/>
        </w:rPr>
        <w:t>Piyungan</w:t>
      </w:r>
      <w:proofErr w:type="spellEnd"/>
      <w:r>
        <w:rPr>
          <w:rFonts w:ascii="Times New Roman" w:eastAsia="Times New Roman" w:hAnsi="Times New Roman" w:cs="Times New Roman"/>
          <w:sz w:val="24"/>
          <w:szCs w:val="24"/>
        </w:rPr>
        <w:t>, this approach has not been implemented systematically, and it manifests only in the form of CSR activities that are not integrated with governance policies</w:t>
      </w:r>
      <w:sdt>
        <w:sdtPr>
          <w:rPr>
            <w:rFonts w:ascii="Times New Roman" w:eastAsia="Times New Roman" w:hAnsi="Times New Roman" w:cs="Times New Roman"/>
            <w:color w:val="000000"/>
            <w:sz w:val="24"/>
            <w:szCs w:val="24"/>
          </w:rPr>
          <w:tag w:val="MENDELEY_CITATION_v3_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"/>
          <w:id w:val="-971517577"/>
          <w:placeholder>
            <w:docPart w:val="DefaultPlaceholder_-1854013440"/>
          </w:placeholder>
        </w:sdtPr>
        <w:sdtContent>
          <w:r w:rsidR="00057197" w:rsidRPr="00057197">
            <w:rPr>
              <w:rFonts w:ascii="Times New Roman" w:eastAsia="Times New Roman" w:hAnsi="Times New Roman" w:cs="Times New Roman"/>
              <w:color w:val="000000"/>
              <w:sz w:val="24"/>
              <w:szCs w:val="24"/>
            </w:rPr>
            <w:t>[14]</w:t>
          </w:r>
        </w:sdtContent>
      </w:sdt>
    </w:p>
    <w:p w14:paraId="37A91D74" w14:textId="7C21363B"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demonstrates that the issue of the </w:t>
      </w:r>
      <w:proofErr w:type="spellStart"/>
      <w:r>
        <w:rPr>
          <w:rFonts w:ascii="Times New Roman" w:eastAsia="Times New Roman" w:hAnsi="Times New Roman" w:cs="Times New Roman"/>
          <w:sz w:val="24"/>
          <w:szCs w:val="24"/>
        </w:rPr>
        <w:t>Piyungan</w:t>
      </w:r>
      <w:proofErr w:type="spellEnd"/>
      <w:r>
        <w:rPr>
          <w:rFonts w:ascii="Times New Roman" w:eastAsia="Times New Roman" w:hAnsi="Times New Roman" w:cs="Times New Roman"/>
          <w:sz w:val="24"/>
          <w:szCs w:val="24"/>
        </w:rPr>
        <w:t xml:space="preserve"> Landfill extends beyond the realm of waste as a physical entity, encompassing the distribution of social burdens, risks, and power in shaping environmental policy. When the narrative of a green city is prioritized for international branding, yet the concerns of affected residents are overlooked, this can lead to governance fragmentation that disregards the principle of justice. A comprehensive transformation in the decision-making system is imperative, encompassing the recognition of informal contributions by residents, the establishment of a platform for two-way dialogue, and the implementation of a community-based compensation mechanism. Such changes will not only increase the legitimacy of public policy, but also become the foundation for truly inclusive and sustainable city development.</w:t>
      </w:r>
    </w:p>
    <w:p w14:paraId="6DDBB192" w14:textId="77777777" w:rsidR="00E7226C" w:rsidRDefault="00F46DB7">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Environmental Inequality, Power, and Socio-Ecological Justice</w:t>
      </w:r>
    </w:p>
    <w:p w14:paraId="20382FD1" w14:textId="7B0EA8B0"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discussion of the </w:t>
      </w:r>
      <w:proofErr w:type="spellStart"/>
      <w:r>
        <w:rPr>
          <w:rFonts w:ascii="Times New Roman" w:eastAsia="Times New Roman" w:hAnsi="Times New Roman" w:cs="Times New Roman"/>
          <w:sz w:val="24"/>
          <w:szCs w:val="24"/>
        </w:rPr>
        <w:t>Piyungan</w:t>
      </w:r>
      <w:proofErr w:type="spellEnd"/>
      <w:r>
        <w:rPr>
          <w:rFonts w:ascii="Times New Roman" w:eastAsia="Times New Roman" w:hAnsi="Times New Roman" w:cs="Times New Roman"/>
          <w:sz w:val="24"/>
          <w:szCs w:val="24"/>
        </w:rPr>
        <w:t xml:space="preserve"> landfill case reveals that issues of waste management in urban areas of the Global South are inextricably linked to questions of power, access, and structural inequality. The technical approach that has dominated the policy narrative has proven incapable of addressing the complexity of social and ecological realities on the ground. In the context of socio-ecological justice, the mere projection of waste reduction targets or infrastructure expansion is insufficient. Of greater fundamental importance is the question of who is affected, who is involved, and who benefits from the existing system</w:t>
      </w:r>
      <w:sdt>
        <w:sdtPr>
          <w:rPr>
            <w:rFonts w:ascii="Times New Roman" w:eastAsia="Times New Roman" w:hAnsi="Times New Roman" w:cs="Times New Roman"/>
            <w:color w:val="000000"/>
            <w:sz w:val="24"/>
            <w:szCs w:val="24"/>
          </w:rPr>
          <w:tag w:val="MENDELEY_CITATION_v3_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"/>
          <w:id w:val="148867799"/>
          <w:placeholder>
            <w:docPart w:val="DefaultPlaceholder_-1854013440"/>
          </w:placeholder>
        </w:sdtPr>
        <w:sdtContent>
          <w:r w:rsidR="00057197" w:rsidRPr="00057197">
            <w:rPr>
              <w:rFonts w:ascii="Times New Roman" w:eastAsia="Times New Roman" w:hAnsi="Times New Roman" w:cs="Times New Roman"/>
              <w:color w:val="000000"/>
              <w:sz w:val="24"/>
              <w:szCs w:val="24"/>
            </w:rPr>
            <w:t>[13]</w:t>
          </w:r>
        </w:sdtContent>
      </w:sdt>
      <w:r>
        <w:rPr>
          <w:rFonts w:ascii="Times New Roman" w:eastAsia="Times New Roman" w:hAnsi="Times New Roman" w:cs="Times New Roman"/>
          <w:sz w:val="24"/>
          <w:szCs w:val="24"/>
        </w:rPr>
        <w:t>.</w:t>
      </w:r>
    </w:p>
    <w:p w14:paraId="268F2F7B" w14:textId="04540B7E"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observed inequality in </w:t>
      </w:r>
      <w:proofErr w:type="spellStart"/>
      <w:r>
        <w:rPr>
          <w:rFonts w:ascii="Times New Roman" w:eastAsia="Times New Roman" w:hAnsi="Times New Roman" w:cs="Times New Roman"/>
          <w:sz w:val="24"/>
          <w:szCs w:val="24"/>
        </w:rPr>
        <w:t>Piyungan</w:t>
      </w:r>
      <w:proofErr w:type="spellEnd"/>
      <w:r>
        <w:rPr>
          <w:rFonts w:ascii="Times New Roman" w:eastAsia="Times New Roman" w:hAnsi="Times New Roman" w:cs="Times New Roman"/>
          <w:sz w:val="24"/>
          <w:szCs w:val="24"/>
        </w:rPr>
        <w:t xml:space="preserve"> mirrors a broader pattern wherein ecological burdens are transferred to peripheral areas that are politically weak and economically dependent. The residents of </w:t>
      </w:r>
      <w:proofErr w:type="spellStart"/>
      <w:r>
        <w:rPr>
          <w:rFonts w:ascii="Times New Roman" w:eastAsia="Times New Roman" w:hAnsi="Times New Roman" w:cs="Times New Roman"/>
          <w:sz w:val="24"/>
          <w:szCs w:val="24"/>
        </w:rPr>
        <w:t>Sitimulyo</w:t>
      </w:r>
      <w:proofErr w:type="spellEnd"/>
      <w:r>
        <w:rPr>
          <w:rFonts w:ascii="Times New Roman" w:eastAsia="Times New Roman" w:hAnsi="Times New Roman" w:cs="Times New Roman"/>
          <w:sz w:val="24"/>
          <w:szCs w:val="24"/>
        </w:rPr>
        <w:t xml:space="preserve"> are not only the recipients of the impacts, but are also excluded from the decision-making processes that determine the future of their community. This disparity is characterized by multiple dimensions: distributional, involving concerns regarding pollution and health risks; procedural, involving a lack of involvement in policy development; and symbolic, involving a lack of recognition as legitimate stakeholders. This perspective aligns with the observations of Moore and Loftus</w:t>
      </w:r>
      <w:r w:rsidR="000571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who have previously critiqued the rationale underpinning urban expansion, particularly </w:t>
      </w:r>
      <w:r w:rsidR="00057197">
        <w:rPr>
          <w:rFonts w:ascii="Times New Roman" w:eastAsia="Times New Roman" w:hAnsi="Times New Roman" w:cs="Times New Roman"/>
          <w:sz w:val="24"/>
          <w:szCs w:val="24"/>
        </w:rPr>
        <w:t>regarding</w:t>
      </w:r>
      <w:r>
        <w:rPr>
          <w:rFonts w:ascii="Times New Roman" w:eastAsia="Times New Roman" w:hAnsi="Times New Roman" w:cs="Times New Roman"/>
          <w:sz w:val="24"/>
          <w:szCs w:val="24"/>
        </w:rPr>
        <w:t xml:space="preserve"> the establishment of "sacrifice zones" in the pursuit of enhancing the aesthetic sustainability and efficiency of the central metropolitan area.</w:t>
      </w:r>
    </w:p>
    <w:p w14:paraId="5E1D5142" w14:textId="77777777"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analysis demonstrates that the governance dissonance that emerges between formal policies and socio-ecological practices is not solely attributable to technical deficiencies. Instead, it is also indicative of an absence of a justice orientation in </w:t>
      </w:r>
      <w:r>
        <w:rPr>
          <w:rFonts w:ascii="Times New Roman" w:eastAsia="Times New Roman" w:hAnsi="Times New Roman" w:cs="Times New Roman"/>
          <w:sz w:val="24"/>
          <w:szCs w:val="24"/>
        </w:rPr>
        <w:lastRenderedPageBreak/>
        <w:t>governance. Local governments often adopt a normative response, characterized by the use of sustainability-related language, yet they fail to implement the necessary institutional transformations that would enable significant citizen participation. Practices such as one-way socialization, symbolic compensation, and a security approach to citizen protests have been demonstrated to actually strengthen community distrust of the state.</w:t>
      </w:r>
    </w:p>
    <w:p w14:paraId="25C32712" w14:textId="77777777"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regard, it is imperative to acknowledge that sustainability encompasses more than mere indicators of carbon emissions or the technical efficiency of waste transportation systems. It is essential that sustainability be viewed through the lens of social sustainability, particularly in communities that are disproportionately impacted by ecological concerns. When the concept of sustainability is dissociated from the tenets of justice, the pursuit of green development often devolves into an aesthetic exercise devoid of substantive content. </w:t>
      </w:r>
      <w:proofErr w:type="spellStart"/>
      <w:r>
        <w:rPr>
          <w:rFonts w:ascii="Times New Roman" w:eastAsia="Times New Roman" w:hAnsi="Times New Roman" w:cs="Times New Roman"/>
          <w:sz w:val="24"/>
          <w:szCs w:val="24"/>
        </w:rPr>
        <w:t>Piyungan</w:t>
      </w:r>
      <w:proofErr w:type="spellEnd"/>
      <w:r>
        <w:rPr>
          <w:rFonts w:ascii="Times New Roman" w:eastAsia="Times New Roman" w:hAnsi="Times New Roman" w:cs="Times New Roman"/>
          <w:sz w:val="24"/>
          <w:szCs w:val="24"/>
        </w:rPr>
        <w:t xml:space="preserve"> exemplifies the potential pitfalls of the green city narrative, highlighting the possibility of such narratives becoming instruments of exclusion when citizens lack agency over their living environment.</w:t>
      </w:r>
    </w:p>
    <w:p w14:paraId="4ABEAC10" w14:textId="77777777"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salient lesson from this case is the imperative to establish a more relational form of governance, characterized by a paradigm shift from perceiving citizens as mere administrative entities to acknowledging them as subjects endowed with experiential knowledge and legitimate interests. Strategies that integrate technical and social approaches hold considerable promise for enhancing equitable and sustainable governance. Illustrative of such strategies are community-based waste management initiatives supported by affirmative policies and citizen rights protection frameworks.</w:t>
      </w:r>
    </w:p>
    <w:p w14:paraId="0FDBC971" w14:textId="77777777"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 particular significance is the necessity to translate socio-ecological justice into concrete policies that regulate the relationship between the urban center and its periphery. This includes the redistribution of environmental burdens, the establishment of long-term compensation systems, the strengthening of local capacity, and the reforming of the participation process so that it is not merely ceremonial. Local governments must allocate space for representatives of affected communities on environmental planning boards and establish citizen-based impact monitoring systems.</w:t>
      </w:r>
    </w:p>
    <w:p w14:paraId="7DCBAF8A" w14:textId="4846D2BC"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discussion underscores the necessity for a novel paradigm in policy formulation to address the environmental crisis in urban areas, such as Yogyakarta. The prevailing development paradigm, which is oriented towards output and global indicators, must give way to a new paradigm that prioritizes the recognition, distribution, and participation of grassroots communities as the primary pillars of sustainability. It is imperative to acknowledge that in order to confront the prevailing environmental crisis in urban areas, such as Yogyakarta, a novel paradigm is requisite in the formulation of policies. The prevailing development paradigm, which is oriented exclusively towards output and global indicators, must be replaced with a new paradigm that prioritizes the recognition, distribution, and participation of grassroots communities as the fundamental pillars of sustainability</w:t>
      </w:r>
      <w:sdt>
        <w:sdtPr>
          <w:rPr>
            <w:rFonts w:ascii="Times New Roman" w:eastAsia="Times New Roman" w:hAnsi="Times New Roman" w:cs="Times New Roman"/>
            <w:color w:val="000000"/>
            <w:sz w:val="24"/>
            <w:szCs w:val="24"/>
          </w:rPr>
          <w:tag w:val="MENDELEY_CITATION_v3_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"/>
          <w:id w:val="-1104186958"/>
          <w:placeholder>
            <w:docPart w:val="DefaultPlaceholder_-1854013440"/>
          </w:placeholder>
        </w:sdtPr>
        <w:sdtContent>
          <w:r w:rsidR="00057197" w:rsidRPr="00057197">
            <w:rPr>
              <w:rFonts w:ascii="Times New Roman" w:eastAsia="Times New Roman" w:hAnsi="Times New Roman" w:cs="Times New Roman"/>
              <w:color w:val="000000"/>
              <w:sz w:val="24"/>
              <w:szCs w:val="24"/>
            </w:rPr>
            <w:t>[13]</w:t>
          </w:r>
        </w:sdtContent>
      </w:sdt>
      <w:r>
        <w:rPr>
          <w:rFonts w:ascii="Times New Roman" w:eastAsia="Times New Roman" w:hAnsi="Times New Roman" w:cs="Times New Roman"/>
          <w:sz w:val="24"/>
          <w:szCs w:val="24"/>
        </w:rPr>
        <w:t>.</w:t>
      </w:r>
    </w:p>
    <w:p w14:paraId="0A1A49E1" w14:textId="77777777" w:rsidR="00E7226C" w:rsidRDefault="00F46DB7">
      <w:pPr>
        <w:spacing w:after="0"/>
        <w:ind w:right="171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CONCLUSION AND RECOMMENDATIONS</w:t>
      </w:r>
    </w:p>
    <w:p w14:paraId="2D91033F" w14:textId="77777777"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the </w:t>
      </w:r>
      <w:proofErr w:type="spellStart"/>
      <w:r>
        <w:rPr>
          <w:rFonts w:ascii="Times New Roman" w:eastAsia="Times New Roman" w:hAnsi="Times New Roman" w:cs="Times New Roman"/>
          <w:sz w:val="24"/>
          <w:szCs w:val="24"/>
        </w:rPr>
        <w:t>Piyungan</w:t>
      </w:r>
      <w:proofErr w:type="spellEnd"/>
      <w:r>
        <w:rPr>
          <w:rFonts w:ascii="Times New Roman" w:eastAsia="Times New Roman" w:hAnsi="Times New Roman" w:cs="Times New Roman"/>
          <w:sz w:val="24"/>
          <w:szCs w:val="24"/>
        </w:rPr>
        <w:t xml:space="preserve"> landfill case study demonstrate that the management of urban waste in Global South countries, particularly in Indonesia, is inextricably linked to issues of justice, power distribution, and community engagement. Government policies, which often prioritize technical aspects such as overcapacity, have neglected to address underlying systemic issues including socio-ecological injustice, procedural exclusion, and symbolic marginalization. In the context of </w:t>
      </w:r>
      <w:proofErr w:type="spellStart"/>
      <w:r>
        <w:rPr>
          <w:rFonts w:ascii="Times New Roman" w:eastAsia="Times New Roman" w:hAnsi="Times New Roman" w:cs="Times New Roman"/>
          <w:sz w:val="24"/>
          <w:szCs w:val="24"/>
        </w:rPr>
        <w:t>Sitimulyo</w:t>
      </w:r>
      <w:proofErr w:type="spellEnd"/>
      <w:r>
        <w:rPr>
          <w:rFonts w:ascii="Times New Roman" w:eastAsia="Times New Roman" w:hAnsi="Times New Roman" w:cs="Times New Roman"/>
          <w:sz w:val="24"/>
          <w:szCs w:val="24"/>
        </w:rPr>
        <w:t xml:space="preserve"> Village, peri-urban communities continue to experience a disproportionate environmental burden. However, these communities do not have meaningful involvement in the planning and decision-making processes. </w:t>
      </w:r>
    </w:p>
    <w:p w14:paraId="2F365ECE" w14:textId="77777777"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strength of this study lies in its capacity to establish a nexus between the theoretical framework of socio-ecological justice and the empirical conditions that prevail in the field. It further illustrates how these abstract concepts are transformed into the daily lived experiences of affected communities. This study underscores the significance of community resilience capacity as a domain for innovation and resistance. However, the study's limitations must be acknowledged. Primarily, it relies on secondary data, excluding the potential for direct observation or in-depth interviews. Subsequent research endeavors may employ participatory methodologies and ethnographic approaches to more thoroughly explore the social and political dynamics involved.</w:t>
      </w:r>
    </w:p>
    <w:p w14:paraId="53DFD349" w14:textId="77777777" w:rsidR="00E7226C" w:rsidRDefault="00F46DB7">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it is recommended that the urban environmental governance framework be reformulated by integrating the voices of citizens not only as beneficiaries, but also as partners in policy formulation. The development of institutional mechanisms, such as community-benefit agreements, environmental complaint platforms, and citizen-based monitoring bodies, is imperative. It is imperative to recognize that enhancing the efficacy, democratic nature, and social justice of the waste management system is contingent upon the adoption of a participatory and justice-oriented approach.</w:t>
      </w:r>
    </w:p>
    <w:p w14:paraId="4CB9782D" w14:textId="77777777" w:rsidR="00E7226C" w:rsidRDefault="00E7226C">
      <w:pPr>
        <w:spacing w:before="240" w:after="240"/>
        <w:ind w:firstLine="720"/>
        <w:jc w:val="both"/>
        <w:rPr>
          <w:rFonts w:ascii="Times New Roman" w:eastAsia="Times New Roman" w:hAnsi="Times New Roman" w:cs="Times New Roman"/>
          <w:sz w:val="24"/>
          <w:szCs w:val="24"/>
        </w:rPr>
      </w:pPr>
    </w:p>
    <w:p w14:paraId="02443C54" w14:textId="77777777" w:rsidR="00E7226C" w:rsidRDefault="00E7226C">
      <w:pPr>
        <w:spacing w:after="0"/>
        <w:ind w:firstLine="567"/>
        <w:jc w:val="both"/>
        <w:rPr>
          <w:rFonts w:ascii="Times New Roman" w:eastAsia="Times New Roman" w:hAnsi="Times New Roman" w:cs="Times New Roman"/>
          <w:sz w:val="24"/>
          <w:szCs w:val="24"/>
        </w:rPr>
      </w:pPr>
    </w:p>
    <w:p w14:paraId="0ECB1E29" w14:textId="60D08FB7" w:rsidR="00E7226C" w:rsidRDefault="00E7226C">
      <w:pPr>
        <w:spacing w:after="0"/>
        <w:jc w:val="both"/>
        <w:rPr>
          <w:rFonts w:ascii="Times New Roman" w:eastAsia="Times New Roman" w:hAnsi="Times New Roman" w:cs="Times New Roman"/>
          <w:sz w:val="24"/>
          <w:szCs w:val="24"/>
        </w:rPr>
      </w:pPr>
    </w:p>
    <w:p w14:paraId="3C264708" w14:textId="237FD8CC" w:rsidR="00057197" w:rsidRDefault="00057197">
      <w:pPr>
        <w:spacing w:after="0"/>
        <w:jc w:val="both"/>
        <w:rPr>
          <w:rFonts w:ascii="Times New Roman" w:eastAsia="Times New Roman" w:hAnsi="Times New Roman" w:cs="Times New Roman"/>
          <w:sz w:val="24"/>
          <w:szCs w:val="24"/>
        </w:rPr>
      </w:pPr>
    </w:p>
    <w:p w14:paraId="7AACCA3F" w14:textId="2DD8B9E3" w:rsidR="00057197" w:rsidRDefault="00057197">
      <w:pPr>
        <w:spacing w:after="0"/>
        <w:jc w:val="both"/>
        <w:rPr>
          <w:rFonts w:ascii="Times New Roman" w:eastAsia="Times New Roman" w:hAnsi="Times New Roman" w:cs="Times New Roman"/>
          <w:sz w:val="24"/>
          <w:szCs w:val="24"/>
        </w:rPr>
      </w:pPr>
    </w:p>
    <w:p w14:paraId="6E5FF900" w14:textId="77777777" w:rsidR="00057197" w:rsidRDefault="00057197">
      <w:pPr>
        <w:spacing w:after="0"/>
        <w:jc w:val="both"/>
        <w:rPr>
          <w:rFonts w:ascii="Times New Roman" w:eastAsia="Times New Roman" w:hAnsi="Times New Roman" w:cs="Times New Roman"/>
          <w:sz w:val="24"/>
          <w:szCs w:val="24"/>
        </w:rPr>
      </w:pPr>
    </w:p>
    <w:p w14:paraId="2150D4DA" w14:textId="77777777" w:rsidR="00E7226C" w:rsidRDefault="00E7226C">
      <w:pPr>
        <w:spacing w:after="0"/>
        <w:jc w:val="both"/>
        <w:rPr>
          <w:rFonts w:ascii="Times New Roman" w:eastAsia="Times New Roman" w:hAnsi="Times New Roman" w:cs="Times New Roman"/>
          <w:sz w:val="24"/>
          <w:szCs w:val="24"/>
        </w:rPr>
      </w:pPr>
    </w:p>
    <w:p w14:paraId="35028464" w14:textId="77777777" w:rsidR="00E7226C" w:rsidRDefault="00E7226C">
      <w:pPr>
        <w:spacing w:after="0"/>
        <w:jc w:val="both"/>
        <w:rPr>
          <w:rFonts w:ascii="Times New Roman" w:eastAsia="Times New Roman" w:hAnsi="Times New Roman" w:cs="Times New Roman"/>
          <w:sz w:val="24"/>
          <w:szCs w:val="24"/>
        </w:rPr>
      </w:pPr>
    </w:p>
    <w:p w14:paraId="3C9DB7F6" w14:textId="77777777" w:rsidR="00E7226C" w:rsidRDefault="00E7226C">
      <w:pPr>
        <w:spacing w:after="0"/>
        <w:jc w:val="both"/>
        <w:rPr>
          <w:rFonts w:ascii="Times New Roman" w:eastAsia="Times New Roman" w:hAnsi="Times New Roman" w:cs="Times New Roman"/>
          <w:sz w:val="24"/>
          <w:szCs w:val="24"/>
        </w:rPr>
      </w:pPr>
    </w:p>
    <w:p w14:paraId="00D3E01E" w14:textId="77777777" w:rsidR="00315A5F" w:rsidRDefault="00315A5F">
      <w:pPr>
        <w:spacing w:after="0"/>
        <w:jc w:val="both"/>
        <w:rPr>
          <w:rFonts w:ascii="Times New Roman" w:eastAsia="Times New Roman" w:hAnsi="Times New Roman" w:cs="Times New Roman"/>
          <w:b/>
          <w:sz w:val="24"/>
          <w:szCs w:val="24"/>
        </w:rPr>
      </w:pPr>
    </w:p>
    <w:p w14:paraId="329226C1" w14:textId="77777777" w:rsidR="00315A5F" w:rsidRDefault="00315A5F">
      <w:pPr>
        <w:spacing w:after="0"/>
        <w:jc w:val="both"/>
        <w:rPr>
          <w:rFonts w:ascii="Times New Roman" w:eastAsia="Times New Roman" w:hAnsi="Times New Roman" w:cs="Times New Roman"/>
          <w:b/>
          <w:sz w:val="24"/>
          <w:szCs w:val="24"/>
        </w:rPr>
      </w:pPr>
    </w:p>
    <w:p w14:paraId="1EA98900" w14:textId="77777777" w:rsidR="00315A5F" w:rsidRDefault="00315A5F">
      <w:pPr>
        <w:spacing w:after="0"/>
        <w:jc w:val="both"/>
        <w:rPr>
          <w:rFonts w:ascii="Times New Roman" w:eastAsia="Times New Roman" w:hAnsi="Times New Roman" w:cs="Times New Roman"/>
          <w:b/>
          <w:sz w:val="24"/>
          <w:szCs w:val="24"/>
        </w:rPr>
      </w:pPr>
    </w:p>
    <w:p w14:paraId="4752FDB0" w14:textId="77777777" w:rsidR="00315A5F" w:rsidRDefault="00315A5F">
      <w:pPr>
        <w:spacing w:after="0"/>
        <w:jc w:val="both"/>
        <w:rPr>
          <w:rFonts w:ascii="Times New Roman" w:eastAsia="Times New Roman" w:hAnsi="Times New Roman" w:cs="Times New Roman"/>
          <w:b/>
          <w:sz w:val="24"/>
          <w:szCs w:val="24"/>
        </w:rPr>
      </w:pPr>
    </w:p>
    <w:p w14:paraId="09A724B9" w14:textId="68F9843D" w:rsidR="00E7226C" w:rsidRDefault="00F46DB7">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w:t>
      </w:r>
    </w:p>
    <w:p w14:paraId="61F05253" w14:textId="77777777" w:rsidR="00057197" w:rsidRDefault="00057197">
      <w:pPr>
        <w:spacing w:after="0"/>
        <w:jc w:val="both"/>
        <w:rPr>
          <w:rFonts w:ascii="Times New Roman" w:eastAsia="Times New Roman" w:hAnsi="Times New Roman" w:cs="Times New Roman"/>
          <w:b/>
          <w:sz w:val="24"/>
          <w:szCs w:val="24"/>
        </w:rPr>
      </w:pPr>
    </w:p>
    <w:sdt>
      <w:sdtPr>
        <w:rPr>
          <w:rFonts w:ascii="Times New Roman" w:eastAsia="Times New Roman" w:hAnsi="Times New Roman" w:cs="Times New Roman"/>
          <w:color w:val="000000"/>
          <w:sz w:val="24"/>
          <w:szCs w:val="24"/>
        </w:rPr>
        <w:tag w:val="MENDELEY_BIBLIOGRAPHY"/>
        <w:id w:val="-1885320350"/>
        <w:placeholder>
          <w:docPart w:val="DefaultPlaceholder_-1854013440"/>
        </w:placeholder>
      </w:sdtPr>
      <w:sdtContent>
        <w:p w14:paraId="30D8ACBA" w14:textId="77777777" w:rsidR="00057197" w:rsidRPr="00057197" w:rsidRDefault="00057197" w:rsidP="00D7166A">
          <w:pPr>
            <w:autoSpaceDE w:val="0"/>
            <w:autoSpaceDN w:val="0"/>
            <w:ind w:hanging="640"/>
            <w:jc w:val="both"/>
            <w:divId w:val="1944067574"/>
            <w:rPr>
              <w:rFonts w:ascii="Times New Roman" w:eastAsia="Times New Roman" w:hAnsi="Times New Roman" w:cs="Times New Roman"/>
              <w:color w:val="000000"/>
              <w:sz w:val="24"/>
              <w:szCs w:val="24"/>
            </w:rPr>
          </w:pPr>
          <w:r w:rsidRPr="00057197">
            <w:rPr>
              <w:rFonts w:ascii="Times New Roman" w:eastAsia="Times New Roman" w:hAnsi="Times New Roman" w:cs="Times New Roman"/>
              <w:color w:val="000000"/>
              <w:sz w:val="24"/>
              <w:szCs w:val="24"/>
            </w:rPr>
            <w:t>[1]</w:t>
          </w:r>
          <w:r w:rsidRPr="00057197">
            <w:rPr>
              <w:rFonts w:ascii="Times New Roman" w:eastAsia="Times New Roman" w:hAnsi="Times New Roman" w:cs="Times New Roman"/>
              <w:color w:val="000000"/>
              <w:sz w:val="24"/>
              <w:szCs w:val="24"/>
            </w:rPr>
            <w:tab/>
            <w:t xml:space="preserve">Progressive International, “Metabolic Fractures in </w:t>
          </w:r>
          <w:proofErr w:type="spellStart"/>
          <w:r w:rsidRPr="00057197">
            <w:rPr>
              <w:rFonts w:ascii="Times New Roman" w:eastAsia="Times New Roman" w:hAnsi="Times New Roman" w:cs="Times New Roman"/>
              <w:color w:val="000000"/>
              <w:sz w:val="24"/>
              <w:szCs w:val="24"/>
            </w:rPr>
            <w:t>Piyungan</w:t>
          </w:r>
          <w:proofErr w:type="spellEnd"/>
          <w:r w:rsidRPr="00057197">
            <w:rPr>
              <w:rFonts w:ascii="Times New Roman" w:eastAsia="Times New Roman" w:hAnsi="Times New Roman" w:cs="Times New Roman"/>
              <w:color w:val="000000"/>
              <w:sz w:val="24"/>
              <w:szCs w:val="24"/>
            </w:rPr>
            <w:t>: The Waste Emergency in Yogyakarta.” Accessed: Jul. 03, 2025. [Online]. Available: https://progressive.international/wire/2025-02-04-metabolic-fractures-in-piyungan-the-waste-emergency-in-yogyakarta/en/</w:t>
          </w:r>
        </w:p>
        <w:p w14:paraId="03671DBC" w14:textId="77777777" w:rsidR="00057197" w:rsidRPr="00057197" w:rsidRDefault="00057197" w:rsidP="00D7166A">
          <w:pPr>
            <w:autoSpaceDE w:val="0"/>
            <w:autoSpaceDN w:val="0"/>
            <w:ind w:hanging="640"/>
            <w:jc w:val="both"/>
            <w:divId w:val="121844917"/>
            <w:rPr>
              <w:rFonts w:ascii="Times New Roman" w:eastAsia="Times New Roman" w:hAnsi="Times New Roman" w:cs="Times New Roman"/>
              <w:color w:val="000000"/>
              <w:sz w:val="24"/>
              <w:szCs w:val="24"/>
            </w:rPr>
          </w:pPr>
          <w:r w:rsidRPr="00057197">
            <w:rPr>
              <w:rFonts w:ascii="Times New Roman" w:eastAsia="Times New Roman" w:hAnsi="Times New Roman" w:cs="Times New Roman"/>
              <w:color w:val="000000"/>
              <w:sz w:val="24"/>
              <w:szCs w:val="24"/>
            </w:rPr>
            <w:t>[2]</w:t>
          </w:r>
          <w:r w:rsidRPr="00057197">
            <w:rPr>
              <w:rFonts w:ascii="Times New Roman" w:eastAsia="Times New Roman" w:hAnsi="Times New Roman" w:cs="Times New Roman"/>
              <w:color w:val="000000"/>
              <w:sz w:val="24"/>
              <w:szCs w:val="24"/>
            </w:rPr>
            <w:tab/>
            <w:t>The Jakarta Post, “Environment Minister Slams Yogyakarta City’s Mounting Waste Problem.” Accessed: Jul. 03, 2025. [Online]. Available: https://www.thejakartapost.com/indonesia/2024/11/20/environment-minister-slams-yogyakarta-citys-mounting-waste-problem.html</w:t>
          </w:r>
        </w:p>
        <w:p w14:paraId="25EC77AF" w14:textId="77777777" w:rsidR="00057197" w:rsidRPr="00057197" w:rsidRDefault="00057197" w:rsidP="00D7166A">
          <w:pPr>
            <w:autoSpaceDE w:val="0"/>
            <w:autoSpaceDN w:val="0"/>
            <w:ind w:hanging="640"/>
            <w:jc w:val="both"/>
            <w:divId w:val="728958686"/>
            <w:rPr>
              <w:rFonts w:ascii="Times New Roman" w:eastAsia="Times New Roman" w:hAnsi="Times New Roman" w:cs="Times New Roman"/>
              <w:color w:val="000000"/>
              <w:sz w:val="24"/>
              <w:szCs w:val="24"/>
            </w:rPr>
          </w:pPr>
          <w:r w:rsidRPr="00057197">
            <w:rPr>
              <w:rFonts w:ascii="Times New Roman" w:eastAsia="Times New Roman" w:hAnsi="Times New Roman" w:cs="Times New Roman"/>
              <w:color w:val="000000"/>
              <w:sz w:val="24"/>
              <w:szCs w:val="24"/>
            </w:rPr>
            <w:t>[3]</w:t>
          </w:r>
          <w:r w:rsidRPr="00057197">
            <w:rPr>
              <w:rFonts w:ascii="Times New Roman" w:eastAsia="Times New Roman" w:hAnsi="Times New Roman" w:cs="Times New Roman"/>
              <w:color w:val="000000"/>
              <w:sz w:val="24"/>
              <w:szCs w:val="24"/>
            </w:rPr>
            <w:tab/>
            <w:t xml:space="preserve">Y. </w:t>
          </w:r>
          <w:proofErr w:type="spellStart"/>
          <w:r w:rsidRPr="00057197">
            <w:rPr>
              <w:rFonts w:ascii="Times New Roman" w:eastAsia="Times New Roman" w:hAnsi="Times New Roman" w:cs="Times New Roman"/>
              <w:color w:val="000000"/>
              <w:sz w:val="24"/>
              <w:szCs w:val="24"/>
            </w:rPr>
            <w:t>Yusriadi</w:t>
          </w:r>
          <w:proofErr w:type="spellEnd"/>
          <w:r w:rsidRPr="00057197">
            <w:rPr>
              <w:rFonts w:ascii="Times New Roman" w:eastAsia="Times New Roman" w:hAnsi="Times New Roman" w:cs="Times New Roman"/>
              <w:color w:val="000000"/>
              <w:sz w:val="24"/>
              <w:szCs w:val="24"/>
            </w:rPr>
            <w:t xml:space="preserve">, M. T. </w:t>
          </w:r>
          <w:proofErr w:type="spellStart"/>
          <w:r w:rsidRPr="00057197">
            <w:rPr>
              <w:rFonts w:ascii="Times New Roman" w:eastAsia="Times New Roman" w:hAnsi="Times New Roman" w:cs="Times New Roman"/>
              <w:color w:val="000000"/>
              <w:sz w:val="24"/>
              <w:szCs w:val="24"/>
            </w:rPr>
            <w:t>Ybnu</w:t>
          </w:r>
          <w:proofErr w:type="spellEnd"/>
          <w:r w:rsidRPr="00057197">
            <w:rPr>
              <w:rFonts w:ascii="Times New Roman" w:eastAsia="Times New Roman" w:hAnsi="Times New Roman" w:cs="Times New Roman"/>
              <w:color w:val="000000"/>
              <w:sz w:val="24"/>
              <w:szCs w:val="24"/>
            </w:rPr>
            <w:t xml:space="preserve">, U. Farida, and S. Tinggi </w:t>
          </w:r>
          <w:proofErr w:type="spellStart"/>
          <w:r w:rsidRPr="00057197">
            <w:rPr>
              <w:rFonts w:ascii="Times New Roman" w:eastAsia="Times New Roman" w:hAnsi="Times New Roman" w:cs="Times New Roman"/>
              <w:color w:val="000000"/>
              <w:sz w:val="24"/>
              <w:szCs w:val="24"/>
            </w:rPr>
            <w:t>Ilmu</w:t>
          </w:r>
          <w:proofErr w:type="spellEnd"/>
          <w:r w:rsidRPr="00057197">
            <w:rPr>
              <w:rFonts w:ascii="Times New Roman" w:eastAsia="Times New Roman" w:hAnsi="Times New Roman" w:cs="Times New Roman"/>
              <w:color w:val="000000"/>
              <w:sz w:val="24"/>
              <w:szCs w:val="24"/>
            </w:rPr>
            <w:t xml:space="preserve"> Ekonomi AMKOP, “Governance of Waste in Indonesia: Implementing Policies and Role of Local Authorities,” </w:t>
          </w:r>
          <w:r w:rsidRPr="00057197">
            <w:rPr>
              <w:rFonts w:ascii="Times New Roman" w:eastAsia="Times New Roman" w:hAnsi="Times New Roman" w:cs="Times New Roman"/>
              <w:i/>
              <w:iCs/>
              <w:color w:val="000000"/>
              <w:sz w:val="24"/>
              <w:szCs w:val="24"/>
            </w:rPr>
            <w:t>Journal of Indonesian Scholars for Social Research Copyright</w:t>
          </w:r>
          <w:r w:rsidRPr="00057197">
            <w:rPr>
              <w:rFonts w:ascii="Times New Roman" w:eastAsia="Times New Roman" w:hAnsi="Times New Roman" w:cs="Times New Roman"/>
              <w:color w:val="000000"/>
              <w:sz w:val="24"/>
              <w:szCs w:val="24"/>
            </w:rPr>
            <w:t>, vol. 3, no. 2, pp. 124–129, 2023.</w:t>
          </w:r>
        </w:p>
        <w:p w14:paraId="7BB84BDD" w14:textId="77777777" w:rsidR="00057197" w:rsidRPr="00057197" w:rsidRDefault="00057197" w:rsidP="00D7166A">
          <w:pPr>
            <w:autoSpaceDE w:val="0"/>
            <w:autoSpaceDN w:val="0"/>
            <w:ind w:hanging="640"/>
            <w:jc w:val="both"/>
            <w:divId w:val="2087333611"/>
            <w:rPr>
              <w:rFonts w:ascii="Times New Roman" w:eastAsia="Times New Roman" w:hAnsi="Times New Roman" w:cs="Times New Roman"/>
              <w:color w:val="000000"/>
              <w:sz w:val="24"/>
              <w:szCs w:val="24"/>
            </w:rPr>
          </w:pPr>
          <w:r w:rsidRPr="00057197">
            <w:rPr>
              <w:rFonts w:ascii="Times New Roman" w:eastAsia="Times New Roman" w:hAnsi="Times New Roman" w:cs="Times New Roman"/>
              <w:color w:val="000000"/>
              <w:sz w:val="24"/>
              <w:szCs w:val="24"/>
            </w:rPr>
            <w:t>[4]</w:t>
          </w:r>
          <w:r w:rsidRPr="00057197">
            <w:rPr>
              <w:rFonts w:ascii="Times New Roman" w:eastAsia="Times New Roman" w:hAnsi="Times New Roman" w:cs="Times New Roman"/>
              <w:color w:val="000000"/>
              <w:sz w:val="24"/>
              <w:szCs w:val="24"/>
            </w:rPr>
            <w:tab/>
            <w:t>Japan International Cooperation Agency (JICA), “Solid Waste Management in Urban Areas: Final Report on Indonesia Technical Cooperation,” https://www.jica.go.jp/project/english/indonesia/016/publications/index.html.</w:t>
          </w:r>
        </w:p>
        <w:p w14:paraId="68434E93" w14:textId="77777777" w:rsidR="00057197" w:rsidRPr="00057197" w:rsidRDefault="00057197" w:rsidP="00D7166A">
          <w:pPr>
            <w:autoSpaceDE w:val="0"/>
            <w:autoSpaceDN w:val="0"/>
            <w:ind w:hanging="640"/>
            <w:jc w:val="both"/>
            <w:divId w:val="116412172"/>
            <w:rPr>
              <w:rFonts w:ascii="Times New Roman" w:eastAsia="Times New Roman" w:hAnsi="Times New Roman" w:cs="Times New Roman"/>
              <w:color w:val="000000"/>
              <w:sz w:val="24"/>
              <w:szCs w:val="24"/>
            </w:rPr>
          </w:pPr>
          <w:r w:rsidRPr="00057197">
            <w:rPr>
              <w:rFonts w:ascii="Times New Roman" w:eastAsia="Times New Roman" w:hAnsi="Times New Roman" w:cs="Times New Roman"/>
              <w:color w:val="000000"/>
              <w:sz w:val="24"/>
              <w:szCs w:val="24"/>
            </w:rPr>
            <w:t>[5]</w:t>
          </w:r>
          <w:r w:rsidRPr="00057197">
            <w:rPr>
              <w:rFonts w:ascii="Times New Roman" w:eastAsia="Times New Roman" w:hAnsi="Times New Roman" w:cs="Times New Roman"/>
              <w:color w:val="000000"/>
              <w:sz w:val="24"/>
              <w:szCs w:val="24"/>
            </w:rPr>
            <w:tab/>
            <w:t xml:space="preserve">G. A. </w:t>
          </w:r>
          <w:proofErr w:type="spellStart"/>
          <w:r w:rsidRPr="00057197">
            <w:rPr>
              <w:rFonts w:ascii="Times New Roman" w:eastAsia="Times New Roman" w:hAnsi="Times New Roman" w:cs="Times New Roman"/>
              <w:color w:val="000000"/>
              <w:sz w:val="24"/>
              <w:szCs w:val="24"/>
            </w:rPr>
            <w:t>Ang’ana</w:t>
          </w:r>
          <w:proofErr w:type="spellEnd"/>
          <w:r w:rsidRPr="00057197">
            <w:rPr>
              <w:rFonts w:ascii="Times New Roman" w:eastAsia="Times New Roman" w:hAnsi="Times New Roman" w:cs="Times New Roman"/>
              <w:color w:val="000000"/>
              <w:sz w:val="24"/>
              <w:szCs w:val="24"/>
            </w:rPr>
            <w:t xml:space="preserve"> and Dr. Walter J. </w:t>
          </w:r>
          <w:proofErr w:type="spellStart"/>
          <w:r w:rsidRPr="00057197">
            <w:rPr>
              <w:rFonts w:ascii="Times New Roman" w:eastAsia="Times New Roman" w:hAnsi="Times New Roman" w:cs="Times New Roman"/>
              <w:color w:val="000000"/>
              <w:sz w:val="24"/>
              <w:szCs w:val="24"/>
            </w:rPr>
            <w:t>Ongeti</w:t>
          </w:r>
          <w:proofErr w:type="spellEnd"/>
          <w:r w:rsidRPr="00057197">
            <w:rPr>
              <w:rFonts w:ascii="Times New Roman" w:eastAsia="Times New Roman" w:hAnsi="Times New Roman" w:cs="Times New Roman"/>
              <w:color w:val="000000"/>
              <w:sz w:val="24"/>
              <w:szCs w:val="24"/>
            </w:rPr>
            <w:t xml:space="preserve">, “Collaborative Leadership and Performance: Towards Development of a New Theoretical Model,” </w:t>
          </w:r>
          <w:r w:rsidRPr="00057197">
            <w:rPr>
              <w:rFonts w:ascii="Times New Roman" w:eastAsia="Times New Roman" w:hAnsi="Times New Roman" w:cs="Times New Roman"/>
              <w:i/>
              <w:iCs/>
              <w:color w:val="000000"/>
              <w:sz w:val="24"/>
              <w:szCs w:val="24"/>
            </w:rPr>
            <w:t>Journal of Business and Management Sciences</w:t>
          </w:r>
          <w:r w:rsidRPr="00057197">
            <w:rPr>
              <w:rFonts w:ascii="Times New Roman" w:eastAsia="Times New Roman" w:hAnsi="Times New Roman" w:cs="Times New Roman"/>
              <w:color w:val="000000"/>
              <w:sz w:val="24"/>
              <w:szCs w:val="24"/>
            </w:rPr>
            <w:t xml:space="preserve">, vol. 11, no. 6, pp. 297–308, Nov. 2023, </w:t>
          </w:r>
          <w:proofErr w:type="spellStart"/>
          <w:r w:rsidRPr="00057197">
            <w:rPr>
              <w:rFonts w:ascii="Times New Roman" w:eastAsia="Times New Roman" w:hAnsi="Times New Roman" w:cs="Times New Roman"/>
              <w:color w:val="000000"/>
              <w:sz w:val="24"/>
              <w:szCs w:val="24"/>
            </w:rPr>
            <w:t>doi</w:t>
          </w:r>
          <w:proofErr w:type="spellEnd"/>
          <w:r w:rsidRPr="00057197">
            <w:rPr>
              <w:rFonts w:ascii="Times New Roman" w:eastAsia="Times New Roman" w:hAnsi="Times New Roman" w:cs="Times New Roman"/>
              <w:color w:val="000000"/>
              <w:sz w:val="24"/>
              <w:szCs w:val="24"/>
            </w:rPr>
            <w:t>: 10.12691/jbms-11-6-1.</w:t>
          </w:r>
        </w:p>
        <w:p w14:paraId="792A4FD1" w14:textId="77777777" w:rsidR="00057197" w:rsidRPr="00057197" w:rsidRDefault="00057197" w:rsidP="00D7166A">
          <w:pPr>
            <w:autoSpaceDE w:val="0"/>
            <w:autoSpaceDN w:val="0"/>
            <w:ind w:hanging="640"/>
            <w:jc w:val="both"/>
            <w:divId w:val="330371981"/>
            <w:rPr>
              <w:rFonts w:ascii="Times New Roman" w:eastAsia="Times New Roman" w:hAnsi="Times New Roman" w:cs="Times New Roman"/>
              <w:color w:val="000000"/>
              <w:sz w:val="24"/>
              <w:szCs w:val="24"/>
            </w:rPr>
          </w:pPr>
          <w:r w:rsidRPr="00057197">
            <w:rPr>
              <w:rFonts w:ascii="Times New Roman" w:eastAsia="Times New Roman" w:hAnsi="Times New Roman" w:cs="Times New Roman"/>
              <w:color w:val="000000"/>
              <w:sz w:val="24"/>
              <w:szCs w:val="24"/>
            </w:rPr>
            <w:t>[6]</w:t>
          </w:r>
          <w:r w:rsidRPr="00057197">
            <w:rPr>
              <w:rFonts w:ascii="Times New Roman" w:eastAsia="Times New Roman" w:hAnsi="Times New Roman" w:cs="Times New Roman"/>
              <w:color w:val="000000"/>
              <w:sz w:val="24"/>
              <w:szCs w:val="24"/>
            </w:rPr>
            <w:tab/>
            <w:t xml:space="preserve">D. Orvos, “Just </w:t>
          </w:r>
          <w:proofErr w:type="spellStart"/>
          <w:r w:rsidRPr="00057197">
            <w:rPr>
              <w:rFonts w:ascii="Times New Roman" w:eastAsia="Times New Roman" w:hAnsi="Times New Roman" w:cs="Times New Roman"/>
              <w:color w:val="000000"/>
              <w:sz w:val="24"/>
              <w:szCs w:val="24"/>
            </w:rPr>
            <w:t>sustainabilities</w:t>
          </w:r>
          <w:proofErr w:type="spellEnd"/>
          <w:r w:rsidRPr="00057197">
            <w:rPr>
              <w:rFonts w:ascii="Times New Roman" w:eastAsia="Times New Roman" w:hAnsi="Times New Roman" w:cs="Times New Roman"/>
              <w:color w:val="000000"/>
              <w:sz w:val="24"/>
              <w:szCs w:val="24"/>
            </w:rPr>
            <w:t>: development in an unequal world,” 2023.</w:t>
          </w:r>
        </w:p>
        <w:p w14:paraId="6744ECC6" w14:textId="77777777" w:rsidR="00057197" w:rsidRPr="00057197" w:rsidRDefault="00057197" w:rsidP="00D7166A">
          <w:pPr>
            <w:autoSpaceDE w:val="0"/>
            <w:autoSpaceDN w:val="0"/>
            <w:ind w:hanging="640"/>
            <w:jc w:val="both"/>
            <w:divId w:val="315687546"/>
            <w:rPr>
              <w:rFonts w:ascii="Times New Roman" w:eastAsia="Times New Roman" w:hAnsi="Times New Roman" w:cs="Times New Roman"/>
              <w:color w:val="000000"/>
              <w:sz w:val="24"/>
              <w:szCs w:val="24"/>
            </w:rPr>
          </w:pPr>
          <w:r w:rsidRPr="00057197">
            <w:rPr>
              <w:rFonts w:ascii="Times New Roman" w:eastAsia="Times New Roman" w:hAnsi="Times New Roman" w:cs="Times New Roman"/>
              <w:color w:val="000000"/>
              <w:sz w:val="24"/>
              <w:szCs w:val="24"/>
            </w:rPr>
            <w:t>[</w:t>
          </w:r>
          <w:proofErr w:type="gramStart"/>
          <w:r w:rsidRPr="00057197">
            <w:rPr>
              <w:rFonts w:ascii="Times New Roman" w:eastAsia="Times New Roman" w:hAnsi="Times New Roman" w:cs="Times New Roman"/>
              <w:color w:val="000000"/>
              <w:sz w:val="24"/>
              <w:szCs w:val="24"/>
            </w:rPr>
            <w:t>7]</w:t>
          </w:r>
          <w:r w:rsidRPr="00057197">
            <w:rPr>
              <w:rFonts w:ascii="Times New Roman" w:eastAsia="Times New Roman" w:hAnsi="Times New Roman" w:cs="Times New Roman"/>
              <w:color w:val="000000"/>
              <w:sz w:val="24"/>
              <w:szCs w:val="24"/>
            </w:rPr>
            <w:tab/>
            <w:t>SDGS.UN</w:t>
          </w:r>
          <w:proofErr w:type="gramEnd"/>
          <w:r w:rsidRPr="00057197">
            <w:rPr>
              <w:rFonts w:ascii="Times New Roman" w:eastAsia="Times New Roman" w:hAnsi="Times New Roman" w:cs="Times New Roman"/>
              <w:color w:val="000000"/>
              <w:sz w:val="24"/>
              <w:szCs w:val="24"/>
            </w:rPr>
            <w:t>, “UN General Assembly, Transforming Our World: The 2030 Agenda for Sustainable Development,” https://sdgs.un.org.</w:t>
          </w:r>
        </w:p>
        <w:p w14:paraId="5A3C5ED7" w14:textId="77777777" w:rsidR="00057197" w:rsidRPr="00057197" w:rsidRDefault="00057197" w:rsidP="00D7166A">
          <w:pPr>
            <w:autoSpaceDE w:val="0"/>
            <w:autoSpaceDN w:val="0"/>
            <w:ind w:hanging="640"/>
            <w:jc w:val="both"/>
            <w:divId w:val="2134209279"/>
            <w:rPr>
              <w:rFonts w:ascii="Times New Roman" w:eastAsia="Times New Roman" w:hAnsi="Times New Roman" w:cs="Times New Roman"/>
              <w:color w:val="000000"/>
              <w:sz w:val="24"/>
              <w:szCs w:val="24"/>
            </w:rPr>
          </w:pPr>
          <w:r w:rsidRPr="00057197">
            <w:rPr>
              <w:rFonts w:ascii="Times New Roman" w:eastAsia="Times New Roman" w:hAnsi="Times New Roman" w:cs="Times New Roman"/>
              <w:color w:val="000000"/>
              <w:sz w:val="24"/>
              <w:szCs w:val="24"/>
            </w:rPr>
            <w:t>[8]</w:t>
          </w:r>
          <w:r w:rsidRPr="00057197">
            <w:rPr>
              <w:rFonts w:ascii="Times New Roman" w:eastAsia="Times New Roman" w:hAnsi="Times New Roman" w:cs="Times New Roman"/>
              <w:color w:val="000000"/>
              <w:sz w:val="24"/>
              <w:szCs w:val="24"/>
            </w:rPr>
            <w:tab/>
            <w:t xml:space="preserve">L. </w:t>
          </w:r>
          <w:proofErr w:type="spellStart"/>
          <w:r w:rsidRPr="00057197">
            <w:rPr>
              <w:rFonts w:ascii="Times New Roman" w:eastAsia="Times New Roman" w:hAnsi="Times New Roman" w:cs="Times New Roman"/>
              <w:color w:val="000000"/>
              <w:sz w:val="24"/>
              <w:szCs w:val="24"/>
            </w:rPr>
            <w:t>Guibrunet</w:t>
          </w:r>
          <w:proofErr w:type="spellEnd"/>
          <w:r w:rsidRPr="00057197">
            <w:rPr>
              <w:rFonts w:ascii="Times New Roman" w:eastAsia="Times New Roman" w:hAnsi="Times New Roman" w:cs="Times New Roman"/>
              <w:color w:val="000000"/>
              <w:sz w:val="24"/>
              <w:szCs w:val="24"/>
            </w:rPr>
            <w:t xml:space="preserve"> and V. C. Broto, “The sustainability of the informal city: An urban metabolism approach.”</w:t>
          </w:r>
        </w:p>
        <w:p w14:paraId="590F420F" w14:textId="77777777" w:rsidR="00057197" w:rsidRPr="00057197" w:rsidRDefault="00057197" w:rsidP="00D7166A">
          <w:pPr>
            <w:autoSpaceDE w:val="0"/>
            <w:autoSpaceDN w:val="0"/>
            <w:ind w:hanging="640"/>
            <w:jc w:val="both"/>
            <w:divId w:val="971250910"/>
            <w:rPr>
              <w:rFonts w:ascii="Times New Roman" w:eastAsia="Times New Roman" w:hAnsi="Times New Roman" w:cs="Times New Roman"/>
              <w:color w:val="000000"/>
              <w:sz w:val="24"/>
              <w:szCs w:val="24"/>
            </w:rPr>
          </w:pPr>
          <w:r w:rsidRPr="00057197">
            <w:rPr>
              <w:rFonts w:ascii="Times New Roman" w:eastAsia="Times New Roman" w:hAnsi="Times New Roman" w:cs="Times New Roman"/>
              <w:color w:val="000000"/>
              <w:sz w:val="24"/>
              <w:szCs w:val="24"/>
            </w:rPr>
            <w:t>[9]</w:t>
          </w:r>
          <w:r w:rsidRPr="00057197">
            <w:rPr>
              <w:rFonts w:ascii="Times New Roman" w:eastAsia="Times New Roman" w:hAnsi="Times New Roman" w:cs="Times New Roman"/>
              <w:color w:val="000000"/>
              <w:sz w:val="24"/>
              <w:szCs w:val="24"/>
            </w:rPr>
            <w:tab/>
            <w:t xml:space="preserve">N. Heynen, “Urban political ecology I: The urban century,” </w:t>
          </w:r>
          <w:r w:rsidRPr="00057197">
            <w:rPr>
              <w:rFonts w:ascii="Times New Roman" w:eastAsia="Times New Roman" w:hAnsi="Times New Roman" w:cs="Times New Roman"/>
              <w:i/>
              <w:iCs/>
              <w:color w:val="000000"/>
              <w:sz w:val="24"/>
              <w:szCs w:val="24"/>
            </w:rPr>
            <w:t xml:space="preserve">Prog Hum </w:t>
          </w:r>
          <w:proofErr w:type="spellStart"/>
          <w:r w:rsidRPr="00057197">
            <w:rPr>
              <w:rFonts w:ascii="Times New Roman" w:eastAsia="Times New Roman" w:hAnsi="Times New Roman" w:cs="Times New Roman"/>
              <w:i/>
              <w:iCs/>
              <w:color w:val="000000"/>
              <w:sz w:val="24"/>
              <w:szCs w:val="24"/>
            </w:rPr>
            <w:t>Geogr</w:t>
          </w:r>
          <w:proofErr w:type="spellEnd"/>
          <w:r w:rsidRPr="00057197">
            <w:rPr>
              <w:rFonts w:ascii="Times New Roman" w:eastAsia="Times New Roman" w:hAnsi="Times New Roman" w:cs="Times New Roman"/>
              <w:color w:val="000000"/>
              <w:sz w:val="24"/>
              <w:szCs w:val="24"/>
            </w:rPr>
            <w:t xml:space="preserve">, vol. 38, no. 4, pp. 598–604, 2014, </w:t>
          </w:r>
          <w:proofErr w:type="spellStart"/>
          <w:r w:rsidRPr="00057197">
            <w:rPr>
              <w:rFonts w:ascii="Times New Roman" w:eastAsia="Times New Roman" w:hAnsi="Times New Roman" w:cs="Times New Roman"/>
              <w:color w:val="000000"/>
              <w:sz w:val="24"/>
              <w:szCs w:val="24"/>
            </w:rPr>
            <w:t>doi</w:t>
          </w:r>
          <w:proofErr w:type="spellEnd"/>
          <w:r w:rsidRPr="00057197">
            <w:rPr>
              <w:rFonts w:ascii="Times New Roman" w:eastAsia="Times New Roman" w:hAnsi="Times New Roman" w:cs="Times New Roman"/>
              <w:color w:val="000000"/>
              <w:sz w:val="24"/>
              <w:szCs w:val="24"/>
            </w:rPr>
            <w:t>: 10.1177/0309132513500443.</w:t>
          </w:r>
        </w:p>
        <w:p w14:paraId="39661F21" w14:textId="77777777" w:rsidR="00057197" w:rsidRPr="00057197" w:rsidRDefault="00057197" w:rsidP="00D7166A">
          <w:pPr>
            <w:autoSpaceDE w:val="0"/>
            <w:autoSpaceDN w:val="0"/>
            <w:ind w:hanging="640"/>
            <w:jc w:val="both"/>
            <w:divId w:val="2048871566"/>
            <w:rPr>
              <w:rFonts w:ascii="Times New Roman" w:eastAsia="Times New Roman" w:hAnsi="Times New Roman" w:cs="Times New Roman"/>
              <w:color w:val="000000"/>
              <w:sz w:val="24"/>
              <w:szCs w:val="24"/>
            </w:rPr>
          </w:pPr>
          <w:r w:rsidRPr="00057197">
            <w:rPr>
              <w:rFonts w:ascii="Times New Roman" w:eastAsia="Times New Roman" w:hAnsi="Times New Roman" w:cs="Times New Roman"/>
              <w:color w:val="000000"/>
              <w:sz w:val="24"/>
              <w:szCs w:val="24"/>
            </w:rPr>
            <w:t>[10]</w:t>
          </w:r>
          <w:r w:rsidRPr="00057197">
            <w:rPr>
              <w:rFonts w:ascii="Times New Roman" w:eastAsia="Times New Roman" w:hAnsi="Times New Roman" w:cs="Times New Roman"/>
              <w:color w:val="000000"/>
              <w:sz w:val="24"/>
              <w:szCs w:val="24"/>
            </w:rPr>
            <w:tab/>
            <w:t xml:space="preserve">J. E. Black, D. E. Holmes, and L. M. Carr, “A geography of marine plastics,” </w:t>
          </w:r>
          <w:r w:rsidRPr="00057197">
            <w:rPr>
              <w:rFonts w:ascii="Times New Roman" w:eastAsia="Times New Roman" w:hAnsi="Times New Roman" w:cs="Times New Roman"/>
              <w:i/>
              <w:iCs/>
              <w:color w:val="000000"/>
              <w:sz w:val="24"/>
              <w:szCs w:val="24"/>
            </w:rPr>
            <w:t>Irish Geography</w:t>
          </w:r>
          <w:r w:rsidRPr="00057197">
            <w:rPr>
              <w:rFonts w:ascii="Times New Roman" w:eastAsia="Times New Roman" w:hAnsi="Times New Roman" w:cs="Times New Roman"/>
              <w:color w:val="000000"/>
              <w:sz w:val="24"/>
              <w:szCs w:val="24"/>
            </w:rPr>
            <w:t xml:space="preserve">, vol. 53, no. 1, pp. 59–92, May 2020, </w:t>
          </w:r>
          <w:proofErr w:type="spellStart"/>
          <w:r w:rsidRPr="00057197">
            <w:rPr>
              <w:rFonts w:ascii="Times New Roman" w:eastAsia="Times New Roman" w:hAnsi="Times New Roman" w:cs="Times New Roman"/>
              <w:color w:val="000000"/>
              <w:sz w:val="24"/>
              <w:szCs w:val="24"/>
            </w:rPr>
            <w:t>doi</w:t>
          </w:r>
          <w:proofErr w:type="spellEnd"/>
          <w:r w:rsidRPr="00057197">
            <w:rPr>
              <w:rFonts w:ascii="Times New Roman" w:eastAsia="Times New Roman" w:hAnsi="Times New Roman" w:cs="Times New Roman"/>
              <w:color w:val="000000"/>
              <w:sz w:val="24"/>
              <w:szCs w:val="24"/>
            </w:rPr>
            <w:t>: 10.2014/</w:t>
          </w:r>
          <w:proofErr w:type="gramStart"/>
          <w:r w:rsidRPr="00057197">
            <w:rPr>
              <w:rFonts w:ascii="Times New Roman" w:eastAsia="Times New Roman" w:hAnsi="Times New Roman" w:cs="Times New Roman"/>
              <w:color w:val="000000"/>
              <w:sz w:val="24"/>
              <w:szCs w:val="24"/>
            </w:rPr>
            <w:t>igj.v</w:t>
          </w:r>
          <w:proofErr w:type="gramEnd"/>
          <w:r w:rsidRPr="00057197">
            <w:rPr>
              <w:rFonts w:ascii="Times New Roman" w:eastAsia="Times New Roman" w:hAnsi="Times New Roman" w:cs="Times New Roman"/>
              <w:color w:val="000000"/>
              <w:sz w:val="24"/>
              <w:szCs w:val="24"/>
            </w:rPr>
            <w:t>53i1.1411.</w:t>
          </w:r>
        </w:p>
        <w:p w14:paraId="1DC4FB20" w14:textId="77777777" w:rsidR="00057197" w:rsidRPr="00057197" w:rsidRDefault="00057197" w:rsidP="00D7166A">
          <w:pPr>
            <w:autoSpaceDE w:val="0"/>
            <w:autoSpaceDN w:val="0"/>
            <w:ind w:hanging="640"/>
            <w:jc w:val="both"/>
            <w:divId w:val="360938028"/>
            <w:rPr>
              <w:rFonts w:ascii="Times New Roman" w:eastAsia="Times New Roman" w:hAnsi="Times New Roman" w:cs="Times New Roman"/>
              <w:color w:val="000000"/>
              <w:sz w:val="24"/>
              <w:szCs w:val="24"/>
            </w:rPr>
          </w:pPr>
          <w:r w:rsidRPr="00057197">
            <w:rPr>
              <w:rFonts w:ascii="Times New Roman" w:eastAsia="Times New Roman" w:hAnsi="Times New Roman" w:cs="Times New Roman"/>
              <w:color w:val="000000"/>
              <w:sz w:val="24"/>
              <w:szCs w:val="24"/>
            </w:rPr>
            <w:t>[11]</w:t>
          </w:r>
          <w:r w:rsidRPr="00057197">
            <w:rPr>
              <w:rFonts w:ascii="Times New Roman" w:eastAsia="Times New Roman" w:hAnsi="Times New Roman" w:cs="Times New Roman"/>
              <w:color w:val="000000"/>
              <w:sz w:val="24"/>
              <w:szCs w:val="24"/>
            </w:rPr>
            <w:tab/>
          </w:r>
          <w:proofErr w:type="spellStart"/>
          <w:r w:rsidRPr="00057197">
            <w:rPr>
              <w:rFonts w:ascii="Times New Roman" w:eastAsia="Times New Roman" w:hAnsi="Times New Roman" w:cs="Times New Roman"/>
              <w:color w:val="000000"/>
              <w:sz w:val="24"/>
              <w:szCs w:val="24"/>
            </w:rPr>
            <w:t>Wisang</w:t>
          </w:r>
          <w:proofErr w:type="spellEnd"/>
          <w:r w:rsidRPr="00057197">
            <w:rPr>
              <w:rFonts w:ascii="Times New Roman" w:eastAsia="Times New Roman" w:hAnsi="Times New Roman" w:cs="Times New Roman"/>
              <w:color w:val="000000"/>
              <w:sz w:val="24"/>
              <w:szCs w:val="24"/>
            </w:rPr>
            <w:t xml:space="preserve"> Seto </w:t>
          </w:r>
          <w:proofErr w:type="spellStart"/>
          <w:r w:rsidRPr="00057197">
            <w:rPr>
              <w:rFonts w:ascii="Times New Roman" w:eastAsia="Times New Roman" w:hAnsi="Times New Roman" w:cs="Times New Roman"/>
              <w:color w:val="000000"/>
              <w:sz w:val="24"/>
              <w:szCs w:val="24"/>
            </w:rPr>
            <w:t>Pangaribowo</w:t>
          </w:r>
          <w:proofErr w:type="spellEnd"/>
          <w:r w:rsidRPr="00057197">
            <w:rPr>
              <w:rFonts w:ascii="Times New Roman" w:eastAsia="Times New Roman" w:hAnsi="Times New Roman" w:cs="Times New Roman"/>
              <w:color w:val="000000"/>
              <w:sz w:val="24"/>
              <w:szCs w:val="24"/>
            </w:rPr>
            <w:t xml:space="preserve"> and Dita </w:t>
          </w:r>
          <w:proofErr w:type="spellStart"/>
          <w:r w:rsidRPr="00057197">
            <w:rPr>
              <w:rFonts w:ascii="Times New Roman" w:eastAsia="Times New Roman" w:hAnsi="Times New Roman" w:cs="Times New Roman"/>
              <w:color w:val="000000"/>
              <w:sz w:val="24"/>
              <w:szCs w:val="24"/>
            </w:rPr>
            <w:t>Angga</w:t>
          </w:r>
          <w:proofErr w:type="spellEnd"/>
          <w:r w:rsidRPr="00057197">
            <w:rPr>
              <w:rFonts w:ascii="Times New Roman" w:eastAsia="Times New Roman" w:hAnsi="Times New Roman" w:cs="Times New Roman"/>
              <w:color w:val="000000"/>
              <w:sz w:val="24"/>
              <w:szCs w:val="24"/>
            </w:rPr>
            <w:t xml:space="preserve"> </w:t>
          </w:r>
          <w:proofErr w:type="spellStart"/>
          <w:r w:rsidRPr="00057197">
            <w:rPr>
              <w:rFonts w:ascii="Times New Roman" w:eastAsia="Times New Roman" w:hAnsi="Times New Roman" w:cs="Times New Roman"/>
              <w:color w:val="000000"/>
              <w:sz w:val="24"/>
              <w:szCs w:val="24"/>
            </w:rPr>
            <w:t>Rusiana</w:t>
          </w:r>
          <w:proofErr w:type="spellEnd"/>
          <w:r w:rsidRPr="00057197">
            <w:rPr>
              <w:rFonts w:ascii="Times New Roman" w:eastAsia="Times New Roman" w:hAnsi="Times New Roman" w:cs="Times New Roman"/>
              <w:color w:val="000000"/>
              <w:sz w:val="24"/>
              <w:szCs w:val="24"/>
            </w:rPr>
            <w:t>, “</w:t>
          </w:r>
          <w:proofErr w:type="spellStart"/>
          <w:r w:rsidRPr="00057197">
            <w:rPr>
              <w:rFonts w:ascii="Times New Roman" w:eastAsia="Times New Roman" w:hAnsi="Times New Roman" w:cs="Times New Roman"/>
              <w:color w:val="000000"/>
              <w:sz w:val="24"/>
              <w:szCs w:val="24"/>
            </w:rPr>
            <w:t>Imbas</w:t>
          </w:r>
          <w:proofErr w:type="spellEnd"/>
          <w:r w:rsidRPr="00057197">
            <w:rPr>
              <w:rFonts w:ascii="Times New Roman" w:eastAsia="Times New Roman" w:hAnsi="Times New Roman" w:cs="Times New Roman"/>
              <w:color w:val="000000"/>
              <w:sz w:val="24"/>
              <w:szCs w:val="24"/>
            </w:rPr>
            <w:t xml:space="preserve"> </w:t>
          </w:r>
          <w:proofErr w:type="spellStart"/>
          <w:r w:rsidRPr="00057197">
            <w:rPr>
              <w:rFonts w:ascii="Times New Roman" w:eastAsia="Times New Roman" w:hAnsi="Times New Roman" w:cs="Times New Roman"/>
              <w:color w:val="000000"/>
              <w:sz w:val="24"/>
              <w:szCs w:val="24"/>
            </w:rPr>
            <w:t>Penutupan</w:t>
          </w:r>
          <w:proofErr w:type="spellEnd"/>
          <w:r w:rsidRPr="00057197">
            <w:rPr>
              <w:rFonts w:ascii="Times New Roman" w:eastAsia="Times New Roman" w:hAnsi="Times New Roman" w:cs="Times New Roman"/>
              <w:color w:val="000000"/>
              <w:sz w:val="24"/>
              <w:szCs w:val="24"/>
            </w:rPr>
            <w:t xml:space="preserve"> TPA </w:t>
          </w:r>
          <w:proofErr w:type="spellStart"/>
          <w:r w:rsidRPr="00057197">
            <w:rPr>
              <w:rFonts w:ascii="Times New Roman" w:eastAsia="Times New Roman" w:hAnsi="Times New Roman" w:cs="Times New Roman"/>
              <w:color w:val="000000"/>
              <w:sz w:val="24"/>
              <w:szCs w:val="24"/>
            </w:rPr>
            <w:t>Piyungan</w:t>
          </w:r>
          <w:proofErr w:type="spellEnd"/>
          <w:r w:rsidRPr="00057197">
            <w:rPr>
              <w:rFonts w:ascii="Times New Roman" w:eastAsia="Times New Roman" w:hAnsi="Times New Roman" w:cs="Times New Roman"/>
              <w:color w:val="000000"/>
              <w:sz w:val="24"/>
              <w:szCs w:val="24"/>
            </w:rPr>
            <w:t xml:space="preserve">, Kota Yogyakarta </w:t>
          </w:r>
          <w:proofErr w:type="spellStart"/>
          <w:r w:rsidRPr="00057197">
            <w:rPr>
              <w:rFonts w:ascii="Times New Roman" w:eastAsia="Times New Roman" w:hAnsi="Times New Roman" w:cs="Times New Roman"/>
              <w:color w:val="000000"/>
              <w:sz w:val="24"/>
              <w:szCs w:val="24"/>
            </w:rPr>
            <w:t>Darurat</w:t>
          </w:r>
          <w:proofErr w:type="spellEnd"/>
          <w:r w:rsidRPr="00057197">
            <w:rPr>
              <w:rFonts w:ascii="Times New Roman" w:eastAsia="Times New Roman" w:hAnsi="Times New Roman" w:cs="Times New Roman"/>
              <w:color w:val="000000"/>
              <w:sz w:val="24"/>
              <w:szCs w:val="24"/>
            </w:rPr>
            <w:t xml:space="preserve"> </w:t>
          </w:r>
          <w:proofErr w:type="spellStart"/>
          <w:r w:rsidRPr="00057197">
            <w:rPr>
              <w:rFonts w:ascii="Times New Roman" w:eastAsia="Times New Roman" w:hAnsi="Times New Roman" w:cs="Times New Roman"/>
              <w:color w:val="000000"/>
              <w:sz w:val="24"/>
              <w:szCs w:val="24"/>
            </w:rPr>
            <w:t>Sampah</w:t>
          </w:r>
          <w:proofErr w:type="spellEnd"/>
          <w:r w:rsidRPr="00057197">
            <w:rPr>
              <w:rFonts w:ascii="Times New Roman" w:eastAsia="Times New Roman" w:hAnsi="Times New Roman" w:cs="Times New Roman"/>
              <w:color w:val="000000"/>
              <w:sz w:val="24"/>
              <w:szCs w:val="24"/>
            </w:rPr>
            <w:t xml:space="preserve">, Bau Tak </w:t>
          </w:r>
          <w:proofErr w:type="spellStart"/>
          <w:r w:rsidRPr="00057197">
            <w:rPr>
              <w:rFonts w:ascii="Times New Roman" w:eastAsia="Times New Roman" w:hAnsi="Times New Roman" w:cs="Times New Roman"/>
              <w:color w:val="000000"/>
              <w:sz w:val="24"/>
              <w:szCs w:val="24"/>
            </w:rPr>
            <w:t>Sedap</w:t>
          </w:r>
          <w:proofErr w:type="spellEnd"/>
          <w:r w:rsidRPr="00057197">
            <w:rPr>
              <w:rFonts w:ascii="Times New Roman" w:eastAsia="Times New Roman" w:hAnsi="Times New Roman" w:cs="Times New Roman"/>
              <w:color w:val="000000"/>
              <w:sz w:val="24"/>
              <w:szCs w:val="24"/>
            </w:rPr>
            <w:t xml:space="preserve"> Mulai </w:t>
          </w:r>
          <w:proofErr w:type="spellStart"/>
          <w:r w:rsidRPr="00057197">
            <w:rPr>
              <w:rFonts w:ascii="Times New Roman" w:eastAsia="Times New Roman" w:hAnsi="Times New Roman" w:cs="Times New Roman"/>
              <w:color w:val="000000"/>
              <w:sz w:val="24"/>
              <w:szCs w:val="24"/>
            </w:rPr>
            <w:t>Mengganggu</w:t>
          </w:r>
          <w:proofErr w:type="spellEnd"/>
          <w:r w:rsidRPr="00057197">
            <w:rPr>
              <w:rFonts w:ascii="Times New Roman" w:eastAsia="Times New Roman" w:hAnsi="Times New Roman" w:cs="Times New Roman"/>
              <w:color w:val="000000"/>
              <w:sz w:val="24"/>
              <w:szCs w:val="24"/>
            </w:rPr>
            <w:t xml:space="preserve"> Warga,” https://yogyakarta.kompas.com/read/2023/07/25/080758578/imbas-penutupan-tpa-piyungan-kota-yogyakarta-darurat-sampah-bau-tak-sedap.</w:t>
          </w:r>
        </w:p>
        <w:p w14:paraId="28E2AEB4" w14:textId="77777777" w:rsidR="00057197" w:rsidRPr="00057197" w:rsidRDefault="00057197" w:rsidP="00D7166A">
          <w:pPr>
            <w:autoSpaceDE w:val="0"/>
            <w:autoSpaceDN w:val="0"/>
            <w:ind w:hanging="640"/>
            <w:jc w:val="both"/>
            <w:divId w:val="181435909"/>
            <w:rPr>
              <w:rFonts w:ascii="Times New Roman" w:eastAsia="Times New Roman" w:hAnsi="Times New Roman" w:cs="Times New Roman"/>
              <w:color w:val="000000"/>
              <w:sz w:val="24"/>
              <w:szCs w:val="24"/>
            </w:rPr>
          </w:pPr>
          <w:r w:rsidRPr="00057197">
            <w:rPr>
              <w:rFonts w:ascii="Times New Roman" w:eastAsia="Times New Roman" w:hAnsi="Times New Roman" w:cs="Times New Roman"/>
              <w:color w:val="000000"/>
              <w:sz w:val="24"/>
              <w:szCs w:val="24"/>
            </w:rPr>
            <w:lastRenderedPageBreak/>
            <w:t>[12]</w:t>
          </w:r>
          <w:r w:rsidRPr="00057197">
            <w:rPr>
              <w:rFonts w:ascii="Times New Roman" w:eastAsia="Times New Roman" w:hAnsi="Times New Roman" w:cs="Times New Roman"/>
              <w:color w:val="000000"/>
              <w:sz w:val="24"/>
              <w:szCs w:val="24"/>
            </w:rPr>
            <w:tab/>
            <w:t xml:space="preserve">D. </w:t>
          </w:r>
          <w:proofErr w:type="spellStart"/>
          <w:r w:rsidRPr="00057197">
            <w:rPr>
              <w:rFonts w:ascii="Times New Roman" w:eastAsia="Times New Roman" w:hAnsi="Times New Roman" w:cs="Times New Roman"/>
              <w:color w:val="000000"/>
              <w:sz w:val="24"/>
              <w:szCs w:val="24"/>
            </w:rPr>
            <w:t>Anggraini</w:t>
          </w:r>
          <w:proofErr w:type="spellEnd"/>
          <w:r w:rsidRPr="00057197">
            <w:rPr>
              <w:rFonts w:ascii="Times New Roman" w:eastAsia="Times New Roman" w:hAnsi="Times New Roman" w:cs="Times New Roman"/>
              <w:color w:val="000000"/>
              <w:sz w:val="24"/>
              <w:szCs w:val="24"/>
            </w:rPr>
            <w:t xml:space="preserve">, A. </w:t>
          </w:r>
          <w:proofErr w:type="spellStart"/>
          <w:r w:rsidRPr="00057197">
            <w:rPr>
              <w:rFonts w:ascii="Times New Roman" w:eastAsia="Times New Roman" w:hAnsi="Times New Roman" w:cs="Times New Roman"/>
              <w:color w:val="000000"/>
              <w:sz w:val="24"/>
              <w:szCs w:val="24"/>
            </w:rPr>
            <w:t>Setyani</w:t>
          </w:r>
          <w:proofErr w:type="spellEnd"/>
          <w:r w:rsidRPr="00057197">
            <w:rPr>
              <w:rFonts w:ascii="Times New Roman" w:eastAsia="Times New Roman" w:hAnsi="Times New Roman" w:cs="Times New Roman"/>
              <w:color w:val="000000"/>
              <w:sz w:val="24"/>
              <w:szCs w:val="24"/>
            </w:rPr>
            <w:t xml:space="preserve">, A. Hurun Azahria, R. </w:t>
          </w:r>
          <w:proofErr w:type="spellStart"/>
          <w:r w:rsidRPr="00057197">
            <w:rPr>
              <w:rFonts w:ascii="Times New Roman" w:eastAsia="Times New Roman" w:hAnsi="Times New Roman" w:cs="Times New Roman"/>
              <w:color w:val="000000"/>
              <w:sz w:val="24"/>
              <w:szCs w:val="24"/>
            </w:rPr>
            <w:t>Gistha</w:t>
          </w:r>
          <w:proofErr w:type="spellEnd"/>
          <w:r w:rsidRPr="00057197">
            <w:rPr>
              <w:rFonts w:ascii="Times New Roman" w:eastAsia="Times New Roman" w:hAnsi="Times New Roman" w:cs="Times New Roman"/>
              <w:color w:val="000000"/>
              <w:sz w:val="24"/>
              <w:szCs w:val="24"/>
            </w:rPr>
            <w:t xml:space="preserve"> </w:t>
          </w:r>
          <w:proofErr w:type="spellStart"/>
          <w:r w:rsidRPr="00057197">
            <w:rPr>
              <w:rFonts w:ascii="Times New Roman" w:eastAsia="Times New Roman" w:hAnsi="Times New Roman" w:cs="Times New Roman"/>
              <w:color w:val="000000"/>
              <w:sz w:val="24"/>
              <w:szCs w:val="24"/>
            </w:rPr>
            <w:t>Rosardi</w:t>
          </w:r>
          <w:proofErr w:type="spellEnd"/>
          <w:r w:rsidRPr="00057197">
            <w:rPr>
              <w:rFonts w:ascii="Times New Roman" w:eastAsia="Times New Roman" w:hAnsi="Times New Roman" w:cs="Times New Roman"/>
              <w:color w:val="000000"/>
              <w:sz w:val="24"/>
              <w:szCs w:val="24"/>
            </w:rPr>
            <w:t>, and R. Septiantoko, “DINAMIKA PERAN TPA PIYUNGAN DALAM KONSERVASI SUMBER DAYA ALAM DI WILAYAH SEKITAR,” 2024. [Online]. Available: https://conserva.unmuhbabel.ac.id/index.php</w:t>
          </w:r>
        </w:p>
        <w:p w14:paraId="1B54EC16" w14:textId="77777777" w:rsidR="00057197" w:rsidRPr="00057197" w:rsidRDefault="00057197" w:rsidP="00D7166A">
          <w:pPr>
            <w:autoSpaceDE w:val="0"/>
            <w:autoSpaceDN w:val="0"/>
            <w:ind w:hanging="640"/>
            <w:jc w:val="both"/>
            <w:divId w:val="1132481218"/>
            <w:rPr>
              <w:rFonts w:ascii="Times New Roman" w:eastAsia="Times New Roman" w:hAnsi="Times New Roman" w:cs="Times New Roman"/>
              <w:color w:val="000000"/>
              <w:sz w:val="24"/>
              <w:szCs w:val="24"/>
            </w:rPr>
          </w:pPr>
          <w:r w:rsidRPr="00057197">
            <w:rPr>
              <w:rFonts w:ascii="Times New Roman" w:eastAsia="Times New Roman" w:hAnsi="Times New Roman" w:cs="Times New Roman"/>
              <w:color w:val="000000"/>
              <w:sz w:val="24"/>
              <w:szCs w:val="24"/>
            </w:rPr>
            <w:t>[13]</w:t>
          </w:r>
          <w:r w:rsidRPr="00057197">
            <w:rPr>
              <w:rFonts w:ascii="Times New Roman" w:eastAsia="Times New Roman" w:hAnsi="Times New Roman" w:cs="Times New Roman"/>
              <w:color w:val="000000"/>
              <w:sz w:val="24"/>
              <w:szCs w:val="24"/>
            </w:rPr>
            <w:tab/>
            <w:t>S. C. W. Sari, S. Samsuri, and D. Wahidin, “</w:t>
          </w:r>
          <w:proofErr w:type="spellStart"/>
          <w:r w:rsidRPr="00057197">
            <w:rPr>
              <w:rFonts w:ascii="Times New Roman" w:eastAsia="Times New Roman" w:hAnsi="Times New Roman" w:cs="Times New Roman"/>
              <w:color w:val="000000"/>
              <w:sz w:val="24"/>
              <w:szCs w:val="24"/>
            </w:rPr>
            <w:t>Penguatan</w:t>
          </w:r>
          <w:proofErr w:type="spellEnd"/>
          <w:r w:rsidRPr="00057197">
            <w:rPr>
              <w:rFonts w:ascii="Times New Roman" w:eastAsia="Times New Roman" w:hAnsi="Times New Roman" w:cs="Times New Roman"/>
              <w:color w:val="000000"/>
              <w:sz w:val="24"/>
              <w:szCs w:val="24"/>
            </w:rPr>
            <w:t xml:space="preserve"> </w:t>
          </w:r>
          <w:proofErr w:type="spellStart"/>
          <w:r w:rsidRPr="00057197">
            <w:rPr>
              <w:rFonts w:ascii="Times New Roman" w:eastAsia="Times New Roman" w:hAnsi="Times New Roman" w:cs="Times New Roman"/>
              <w:color w:val="000000"/>
              <w:sz w:val="24"/>
              <w:szCs w:val="24"/>
            </w:rPr>
            <w:t>Kewarganegaraan</w:t>
          </w:r>
          <w:proofErr w:type="spellEnd"/>
          <w:r w:rsidRPr="00057197">
            <w:rPr>
              <w:rFonts w:ascii="Times New Roman" w:eastAsia="Times New Roman" w:hAnsi="Times New Roman" w:cs="Times New Roman"/>
              <w:color w:val="000000"/>
              <w:sz w:val="24"/>
              <w:szCs w:val="24"/>
            </w:rPr>
            <w:t xml:space="preserve"> </w:t>
          </w:r>
          <w:proofErr w:type="spellStart"/>
          <w:r w:rsidRPr="00057197">
            <w:rPr>
              <w:rFonts w:ascii="Times New Roman" w:eastAsia="Times New Roman" w:hAnsi="Times New Roman" w:cs="Times New Roman"/>
              <w:color w:val="000000"/>
              <w:sz w:val="24"/>
              <w:szCs w:val="24"/>
            </w:rPr>
            <w:t>Ekologis</w:t>
          </w:r>
          <w:proofErr w:type="spellEnd"/>
          <w:r w:rsidRPr="00057197">
            <w:rPr>
              <w:rFonts w:ascii="Times New Roman" w:eastAsia="Times New Roman" w:hAnsi="Times New Roman" w:cs="Times New Roman"/>
              <w:color w:val="000000"/>
              <w:sz w:val="24"/>
              <w:szCs w:val="24"/>
            </w:rPr>
            <w:t xml:space="preserve"> </w:t>
          </w:r>
          <w:proofErr w:type="spellStart"/>
          <w:r w:rsidRPr="00057197">
            <w:rPr>
              <w:rFonts w:ascii="Times New Roman" w:eastAsia="Times New Roman" w:hAnsi="Times New Roman" w:cs="Times New Roman"/>
              <w:color w:val="000000"/>
              <w:sz w:val="24"/>
              <w:szCs w:val="24"/>
            </w:rPr>
            <w:t>Untuk</w:t>
          </w:r>
          <w:proofErr w:type="spellEnd"/>
          <w:r w:rsidRPr="00057197">
            <w:rPr>
              <w:rFonts w:ascii="Times New Roman" w:eastAsia="Times New Roman" w:hAnsi="Times New Roman" w:cs="Times New Roman"/>
              <w:color w:val="000000"/>
              <w:sz w:val="24"/>
              <w:szCs w:val="24"/>
            </w:rPr>
            <w:t xml:space="preserve"> </w:t>
          </w:r>
          <w:proofErr w:type="spellStart"/>
          <w:r w:rsidRPr="00057197">
            <w:rPr>
              <w:rFonts w:ascii="Times New Roman" w:eastAsia="Times New Roman" w:hAnsi="Times New Roman" w:cs="Times New Roman"/>
              <w:color w:val="000000"/>
              <w:sz w:val="24"/>
              <w:szCs w:val="24"/>
            </w:rPr>
            <w:t>Mewujudkan</w:t>
          </w:r>
          <w:proofErr w:type="spellEnd"/>
          <w:r w:rsidRPr="00057197">
            <w:rPr>
              <w:rFonts w:ascii="Times New Roman" w:eastAsia="Times New Roman" w:hAnsi="Times New Roman" w:cs="Times New Roman"/>
              <w:color w:val="000000"/>
              <w:sz w:val="24"/>
              <w:szCs w:val="24"/>
            </w:rPr>
            <w:t xml:space="preserve"> </w:t>
          </w:r>
          <w:proofErr w:type="spellStart"/>
          <w:r w:rsidRPr="00057197">
            <w:rPr>
              <w:rFonts w:ascii="Times New Roman" w:eastAsia="Times New Roman" w:hAnsi="Times New Roman" w:cs="Times New Roman"/>
              <w:color w:val="000000"/>
              <w:sz w:val="24"/>
              <w:szCs w:val="24"/>
            </w:rPr>
            <w:t>Ketahanan</w:t>
          </w:r>
          <w:proofErr w:type="spellEnd"/>
          <w:r w:rsidRPr="00057197">
            <w:rPr>
              <w:rFonts w:ascii="Times New Roman" w:eastAsia="Times New Roman" w:hAnsi="Times New Roman" w:cs="Times New Roman"/>
              <w:color w:val="000000"/>
              <w:sz w:val="24"/>
              <w:szCs w:val="24"/>
            </w:rPr>
            <w:t xml:space="preserve"> </w:t>
          </w:r>
          <w:proofErr w:type="spellStart"/>
          <w:r w:rsidRPr="00057197">
            <w:rPr>
              <w:rFonts w:ascii="Times New Roman" w:eastAsia="Times New Roman" w:hAnsi="Times New Roman" w:cs="Times New Roman"/>
              <w:color w:val="000000"/>
              <w:sz w:val="24"/>
              <w:szCs w:val="24"/>
            </w:rPr>
            <w:t>Lingkungan</w:t>
          </w:r>
          <w:proofErr w:type="spellEnd"/>
          <w:r w:rsidRPr="00057197">
            <w:rPr>
              <w:rFonts w:ascii="Times New Roman" w:eastAsia="Times New Roman" w:hAnsi="Times New Roman" w:cs="Times New Roman"/>
              <w:color w:val="000000"/>
              <w:sz w:val="24"/>
              <w:szCs w:val="24"/>
            </w:rPr>
            <w:t xml:space="preserve"> (Studi di Kampung </w:t>
          </w:r>
          <w:proofErr w:type="spellStart"/>
          <w:r w:rsidRPr="00057197">
            <w:rPr>
              <w:rFonts w:ascii="Times New Roman" w:eastAsia="Times New Roman" w:hAnsi="Times New Roman" w:cs="Times New Roman"/>
              <w:color w:val="000000"/>
              <w:sz w:val="24"/>
              <w:szCs w:val="24"/>
            </w:rPr>
            <w:t>Gambiran</w:t>
          </w:r>
          <w:proofErr w:type="spellEnd"/>
          <w:r w:rsidRPr="00057197">
            <w:rPr>
              <w:rFonts w:ascii="Times New Roman" w:eastAsia="Times New Roman" w:hAnsi="Times New Roman" w:cs="Times New Roman"/>
              <w:color w:val="000000"/>
              <w:sz w:val="24"/>
              <w:szCs w:val="24"/>
            </w:rPr>
            <w:t xml:space="preserve">, </w:t>
          </w:r>
          <w:proofErr w:type="spellStart"/>
          <w:r w:rsidRPr="00057197">
            <w:rPr>
              <w:rFonts w:ascii="Times New Roman" w:eastAsia="Times New Roman" w:hAnsi="Times New Roman" w:cs="Times New Roman"/>
              <w:color w:val="000000"/>
              <w:sz w:val="24"/>
              <w:szCs w:val="24"/>
            </w:rPr>
            <w:t>Kelurahan</w:t>
          </w:r>
          <w:proofErr w:type="spellEnd"/>
          <w:r w:rsidRPr="00057197">
            <w:rPr>
              <w:rFonts w:ascii="Times New Roman" w:eastAsia="Times New Roman" w:hAnsi="Times New Roman" w:cs="Times New Roman"/>
              <w:color w:val="000000"/>
              <w:sz w:val="24"/>
              <w:szCs w:val="24"/>
            </w:rPr>
            <w:t xml:space="preserve"> </w:t>
          </w:r>
          <w:proofErr w:type="spellStart"/>
          <w:r w:rsidRPr="00057197">
            <w:rPr>
              <w:rFonts w:ascii="Times New Roman" w:eastAsia="Times New Roman" w:hAnsi="Times New Roman" w:cs="Times New Roman"/>
              <w:color w:val="000000"/>
              <w:sz w:val="24"/>
              <w:szCs w:val="24"/>
            </w:rPr>
            <w:t>Pandeyan</w:t>
          </w:r>
          <w:proofErr w:type="spellEnd"/>
          <w:r w:rsidRPr="00057197">
            <w:rPr>
              <w:rFonts w:ascii="Times New Roman" w:eastAsia="Times New Roman" w:hAnsi="Times New Roman" w:cs="Times New Roman"/>
              <w:color w:val="000000"/>
              <w:sz w:val="24"/>
              <w:szCs w:val="24"/>
            </w:rPr>
            <w:t xml:space="preserve">, </w:t>
          </w:r>
          <w:proofErr w:type="spellStart"/>
          <w:r w:rsidRPr="00057197">
            <w:rPr>
              <w:rFonts w:ascii="Times New Roman" w:eastAsia="Times New Roman" w:hAnsi="Times New Roman" w:cs="Times New Roman"/>
              <w:color w:val="000000"/>
              <w:sz w:val="24"/>
              <w:szCs w:val="24"/>
            </w:rPr>
            <w:t>Kecamatan</w:t>
          </w:r>
          <w:proofErr w:type="spellEnd"/>
          <w:r w:rsidRPr="00057197">
            <w:rPr>
              <w:rFonts w:ascii="Times New Roman" w:eastAsia="Times New Roman" w:hAnsi="Times New Roman" w:cs="Times New Roman"/>
              <w:color w:val="000000"/>
              <w:sz w:val="24"/>
              <w:szCs w:val="24"/>
            </w:rPr>
            <w:t xml:space="preserve"> </w:t>
          </w:r>
          <w:proofErr w:type="spellStart"/>
          <w:r w:rsidRPr="00057197">
            <w:rPr>
              <w:rFonts w:ascii="Times New Roman" w:eastAsia="Times New Roman" w:hAnsi="Times New Roman" w:cs="Times New Roman"/>
              <w:color w:val="000000"/>
              <w:sz w:val="24"/>
              <w:szCs w:val="24"/>
            </w:rPr>
            <w:t>Umbulharjo</w:t>
          </w:r>
          <w:proofErr w:type="spellEnd"/>
          <w:r w:rsidRPr="00057197">
            <w:rPr>
              <w:rFonts w:ascii="Times New Roman" w:eastAsia="Times New Roman" w:hAnsi="Times New Roman" w:cs="Times New Roman"/>
              <w:color w:val="000000"/>
              <w:sz w:val="24"/>
              <w:szCs w:val="24"/>
            </w:rPr>
            <w:t xml:space="preserve">, Kota Yogyakarta, Daerah Istimewa Yogyakarta),” </w:t>
          </w:r>
          <w:proofErr w:type="spellStart"/>
          <w:r w:rsidRPr="00057197">
            <w:rPr>
              <w:rFonts w:ascii="Times New Roman" w:eastAsia="Times New Roman" w:hAnsi="Times New Roman" w:cs="Times New Roman"/>
              <w:i/>
              <w:iCs/>
              <w:color w:val="000000"/>
              <w:sz w:val="24"/>
              <w:szCs w:val="24"/>
            </w:rPr>
            <w:t>Jurnal</w:t>
          </w:r>
          <w:proofErr w:type="spellEnd"/>
          <w:r w:rsidRPr="00057197">
            <w:rPr>
              <w:rFonts w:ascii="Times New Roman" w:eastAsia="Times New Roman" w:hAnsi="Times New Roman" w:cs="Times New Roman"/>
              <w:i/>
              <w:iCs/>
              <w:color w:val="000000"/>
              <w:sz w:val="24"/>
              <w:szCs w:val="24"/>
            </w:rPr>
            <w:t xml:space="preserve"> </w:t>
          </w:r>
          <w:proofErr w:type="spellStart"/>
          <w:r w:rsidRPr="00057197">
            <w:rPr>
              <w:rFonts w:ascii="Times New Roman" w:eastAsia="Times New Roman" w:hAnsi="Times New Roman" w:cs="Times New Roman"/>
              <w:i/>
              <w:iCs/>
              <w:color w:val="000000"/>
              <w:sz w:val="24"/>
              <w:szCs w:val="24"/>
            </w:rPr>
            <w:t>Ketahanan</w:t>
          </w:r>
          <w:proofErr w:type="spellEnd"/>
          <w:r w:rsidRPr="00057197">
            <w:rPr>
              <w:rFonts w:ascii="Times New Roman" w:eastAsia="Times New Roman" w:hAnsi="Times New Roman" w:cs="Times New Roman"/>
              <w:i/>
              <w:iCs/>
              <w:color w:val="000000"/>
              <w:sz w:val="24"/>
              <w:szCs w:val="24"/>
            </w:rPr>
            <w:t xml:space="preserve"> Nasional</w:t>
          </w:r>
          <w:r w:rsidRPr="00057197">
            <w:rPr>
              <w:rFonts w:ascii="Times New Roman" w:eastAsia="Times New Roman" w:hAnsi="Times New Roman" w:cs="Times New Roman"/>
              <w:color w:val="000000"/>
              <w:sz w:val="24"/>
              <w:szCs w:val="24"/>
            </w:rPr>
            <w:t xml:space="preserve">, vol. 26, no. 1, p. 40, May 2020, </w:t>
          </w:r>
          <w:proofErr w:type="spellStart"/>
          <w:r w:rsidRPr="00057197">
            <w:rPr>
              <w:rFonts w:ascii="Times New Roman" w:eastAsia="Times New Roman" w:hAnsi="Times New Roman" w:cs="Times New Roman"/>
              <w:color w:val="000000"/>
              <w:sz w:val="24"/>
              <w:szCs w:val="24"/>
            </w:rPr>
            <w:t>doi</w:t>
          </w:r>
          <w:proofErr w:type="spellEnd"/>
          <w:r w:rsidRPr="00057197">
            <w:rPr>
              <w:rFonts w:ascii="Times New Roman" w:eastAsia="Times New Roman" w:hAnsi="Times New Roman" w:cs="Times New Roman"/>
              <w:color w:val="000000"/>
              <w:sz w:val="24"/>
              <w:szCs w:val="24"/>
            </w:rPr>
            <w:t>: 10.22146/jkn.53816.</w:t>
          </w:r>
        </w:p>
        <w:p w14:paraId="23F1C06A" w14:textId="77777777" w:rsidR="00057197" w:rsidRPr="00057197" w:rsidRDefault="00057197" w:rsidP="00D7166A">
          <w:pPr>
            <w:autoSpaceDE w:val="0"/>
            <w:autoSpaceDN w:val="0"/>
            <w:ind w:hanging="640"/>
            <w:jc w:val="both"/>
            <w:divId w:val="366686721"/>
            <w:rPr>
              <w:rFonts w:ascii="Times New Roman" w:eastAsia="Times New Roman" w:hAnsi="Times New Roman" w:cs="Times New Roman"/>
              <w:color w:val="000000"/>
              <w:sz w:val="24"/>
              <w:szCs w:val="24"/>
            </w:rPr>
          </w:pPr>
          <w:r w:rsidRPr="00057197">
            <w:rPr>
              <w:rFonts w:ascii="Times New Roman" w:eastAsia="Times New Roman" w:hAnsi="Times New Roman" w:cs="Times New Roman"/>
              <w:color w:val="000000"/>
              <w:sz w:val="24"/>
              <w:szCs w:val="24"/>
            </w:rPr>
            <w:t>[14]</w:t>
          </w:r>
          <w:r w:rsidRPr="00057197">
            <w:rPr>
              <w:rFonts w:ascii="Times New Roman" w:eastAsia="Times New Roman" w:hAnsi="Times New Roman" w:cs="Times New Roman"/>
              <w:color w:val="000000"/>
              <w:sz w:val="24"/>
              <w:szCs w:val="24"/>
            </w:rPr>
            <w:tab/>
            <w:t xml:space="preserve">C. S. </w:t>
          </w:r>
          <w:proofErr w:type="spellStart"/>
          <w:r w:rsidRPr="00057197">
            <w:rPr>
              <w:rFonts w:ascii="Times New Roman" w:eastAsia="Times New Roman" w:hAnsi="Times New Roman" w:cs="Times New Roman"/>
              <w:color w:val="000000"/>
              <w:sz w:val="24"/>
              <w:szCs w:val="24"/>
            </w:rPr>
            <w:t>Pakidi</w:t>
          </w:r>
          <w:proofErr w:type="spellEnd"/>
          <w:r w:rsidRPr="00057197">
            <w:rPr>
              <w:rFonts w:ascii="Times New Roman" w:eastAsia="Times New Roman" w:hAnsi="Times New Roman" w:cs="Times New Roman"/>
              <w:color w:val="000000"/>
              <w:sz w:val="24"/>
              <w:szCs w:val="24"/>
            </w:rPr>
            <w:t xml:space="preserve"> and B. </w:t>
          </w:r>
          <w:proofErr w:type="spellStart"/>
          <w:r w:rsidRPr="00057197">
            <w:rPr>
              <w:rFonts w:ascii="Times New Roman" w:eastAsia="Times New Roman" w:hAnsi="Times New Roman" w:cs="Times New Roman"/>
              <w:color w:val="000000"/>
              <w:sz w:val="24"/>
              <w:szCs w:val="24"/>
            </w:rPr>
            <w:t>Tambaip</w:t>
          </w:r>
          <w:proofErr w:type="spellEnd"/>
          <w:r w:rsidRPr="00057197">
            <w:rPr>
              <w:rFonts w:ascii="Times New Roman" w:eastAsia="Times New Roman" w:hAnsi="Times New Roman" w:cs="Times New Roman"/>
              <w:color w:val="000000"/>
              <w:sz w:val="24"/>
              <w:szCs w:val="24"/>
            </w:rPr>
            <w:t>, “</w:t>
          </w:r>
          <w:proofErr w:type="spellStart"/>
          <w:r w:rsidRPr="00057197">
            <w:rPr>
              <w:rFonts w:ascii="Times New Roman" w:eastAsia="Times New Roman" w:hAnsi="Times New Roman" w:cs="Times New Roman"/>
              <w:color w:val="000000"/>
              <w:sz w:val="24"/>
              <w:szCs w:val="24"/>
            </w:rPr>
            <w:t>Ketahanan</w:t>
          </w:r>
          <w:proofErr w:type="spellEnd"/>
          <w:r w:rsidRPr="00057197">
            <w:rPr>
              <w:rFonts w:ascii="Times New Roman" w:eastAsia="Times New Roman" w:hAnsi="Times New Roman" w:cs="Times New Roman"/>
              <w:color w:val="000000"/>
              <w:sz w:val="24"/>
              <w:szCs w:val="24"/>
            </w:rPr>
            <w:t xml:space="preserve"> Air dan </w:t>
          </w:r>
          <w:proofErr w:type="spellStart"/>
          <w:r w:rsidRPr="00057197">
            <w:rPr>
              <w:rFonts w:ascii="Times New Roman" w:eastAsia="Times New Roman" w:hAnsi="Times New Roman" w:cs="Times New Roman"/>
              <w:color w:val="000000"/>
              <w:sz w:val="24"/>
              <w:szCs w:val="24"/>
            </w:rPr>
            <w:t>Kearifan</w:t>
          </w:r>
          <w:proofErr w:type="spellEnd"/>
          <w:r w:rsidRPr="00057197">
            <w:rPr>
              <w:rFonts w:ascii="Times New Roman" w:eastAsia="Times New Roman" w:hAnsi="Times New Roman" w:cs="Times New Roman"/>
              <w:color w:val="000000"/>
              <w:sz w:val="24"/>
              <w:szCs w:val="24"/>
            </w:rPr>
            <w:t xml:space="preserve"> Lokal: Studi Kasus </w:t>
          </w:r>
          <w:proofErr w:type="spellStart"/>
          <w:r w:rsidRPr="00057197">
            <w:rPr>
              <w:rFonts w:ascii="Times New Roman" w:eastAsia="Times New Roman" w:hAnsi="Times New Roman" w:cs="Times New Roman"/>
              <w:color w:val="000000"/>
              <w:sz w:val="24"/>
              <w:szCs w:val="24"/>
            </w:rPr>
            <w:t>Pengelolaan</w:t>
          </w:r>
          <w:proofErr w:type="spellEnd"/>
          <w:r w:rsidRPr="00057197">
            <w:rPr>
              <w:rFonts w:ascii="Times New Roman" w:eastAsia="Times New Roman" w:hAnsi="Times New Roman" w:cs="Times New Roman"/>
              <w:color w:val="000000"/>
              <w:sz w:val="24"/>
              <w:szCs w:val="24"/>
            </w:rPr>
            <w:t xml:space="preserve"> </w:t>
          </w:r>
          <w:proofErr w:type="spellStart"/>
          <w:r w:rsidRPr="00057197">
            <w:rPr>
              <w:rFonts w:ascii="Times New Roman" w:eastAsia="Times New Roman" w:hAnsi="Times New Roman" w:cs="Times New Roman"/>
              <w:color w:val="000000"/>
              <w:sz w:val="24"/>
              <w:szCs w:val="24"/>
            </w:rPr>
            <w:t>Sumber</w:t>
          </w:r>
          <w:proofErr w:type="spellEnd"/>
          <w:r w:rsidRPr="00057197">
            <w:rPr>
              <w:rFonts w:ascii="Times New Roman" w:eastAsia="Times New Roman" w:hAnsi="Times New Roman" w:cs="Times New Roman"/>
              <w:color w:val="000000"/>
              <w:sz w:val="24"/>
              <w:szCs w:val="24"/>
            </w:rPr>
            <w:t xml:space="preserve"> Daya Air </w:t>
          </w:r>
          <w:proofErr w:type="spellStart"/>
          <w:r w:rsidRPr="00057197">
            <w:rPr>
              <w:rFonts w:ascii="Times New Roman" w:eastAsia="Times New Roman" w:hAnsi="Times New Roman" w:cs="Times New Roman"/>
              <w:color w:val="000000"/>
              <w:sz w:val="24"/>
              <w:szCs w:val="24"/>
            </w:rPr>
            <w:t>Berbasis</w:t>
          </w:r>
          <w:proofErr w:type="spellEnd"/>
          <w:r w:rsidRPr="00057197">
            <w:rPr>
              <w:rFonts w:ascii="Times New Roman" w:eastAsia="Times New Roman" w:hAnsi="Times New Roman" w:cs="Times New Roman"/>
              <w:color w:val="000000"/>
              <w:sz w:val="24"/>
              <w:szCs w:val="24"/>
            </w:rPr>
            <w:t xml:space="preserve"> </w:t>
          </w:r>
          <w:proofErr w:type="spellStart"/>
          <w:r w:rsidRPr="00057197">
            <w:rPr>
              <w:rFonts w:ascii="Times New Roman" w:eastAsia="Times New Roman" w:hAnsi="Times New Roman" w:cs="Times New Roman"/>
              <w:color w:val="000000"/>
              <w:sz w:val="24"/>
              <w:szCs w:val="24"/>
            </w:rPr>
            <w:t>Komunitas</w:t>
          </w:r>
          <w:proofErr w:type="spellEnd"/>
          <w:r w:rsidRPr="00057197">
            <w:rPr>
              <w:rFonts w:ascii="Times New Roman" w:eastAsia="Times New Roman" w:hAnsi="Times New Roman" w:cs="Times New Roman"/>
              <w:color w:val="000000"/>
              <w:sz w:val="24"/>
              <w:szCs w:val="24"/>
            </w:rPr>
            <w:t xml:space="preserve"> Adat di Merauke,” </w:t>
          </w:r>
          <w:r w:rsidRPr="00057197">
            <w:rPr>
              <w:rFonts w:ascii="Times New Roman" w:eastAsia="Times New Roman" w:hAnsi="Times New Roman" w:cs="Times New Roman"/>
              <w:i/>
              <w:iCs/>
              <w:color w:val="000000"/>
              <w:sz w:val="24"/>
              <w:szCs w:val="24"/>
            </w:rPr>
            <w:t xml:space="preserve">Jejak digital: </w:t>
          </w:r>
          <w:proofErr w:type="spellStart"/>
          <w:r w:rsidRPr="00057197">
            <w:rPr>
              <w:rFonts w:ascii="Times New Roman" w:eastAsia="Times New Roman" w:hAnsi="Times New Roman" w:cs="Times New Roman"/>
              <w:i/>
              <w:iCs/>
              <w:color w:val="000000"/>
              <w:sz w:val="24"/>
              <w:szCs w:val="24"/>
            </w:rPr>
            <w:t>Jurnal</w:t>
          </w:r>
          <w:proofErr w:type="spellEnd"/>
          <w:r w:rsidRPr="00057197">
            <w:rPr>
              <w:rFonts w:ascii="Times New Roman" w:eastAsia="Times New Roman" w:hAnsi="Times New Roman" w:cs="Times New Roman"/>
              <w:i/>
              <w:iCs/>
              <w:color w:val="000000"/>
              <w:sz w:val="24"/>
              <w:szCs w:val="24"/>
            </w:rPr>
            <w:t xml:space="preserve"> </w:t>
          </w:r>
          <w:proofErr w:type="spellStart"/>
          <w:r w:rsidRPr="00057197">
            <w:rPr>
              <w:rFonts w:ascii="Times New Roman" w:eastAsia="Times New Roman" w:hAnsi="Times New Roman" w:cs="Times New Roman"/>
              <w:i/>
              <w:iCs/>
              <w:color w:val="000000"/>
              <w:sz w:val="24"/>
              <w:szCs w:val="24"/>
            </w:rPr>
            <w:t>Ilmiah</w:t>
          </w:r>
          <w:proofErr w:type="spellEnd"/>
          <w:r w:rsidRPr="00057197">
            <w:rPr>
              <w:rFonts w:ascii="Times New Roman" w:eastAsia="Times New Roman" w:hAnsi="Times New Roman" w:cs="Times New Roman"/>
              <w:i/>
              <w:iCs/>
              <w:color w:val="000000"/>
              <w:sz w:val="24"/>
              <w:szCs w:val="24"/>
            </w:rPr>
            <w:t xml:space="preserve"> </w:t>
          </w:r>
          <w:proofErr w:type="spellStart"/>
          <w:r w:rsidRPr="00057197">
            <w:rPr>
              <w:rFonts w:ascii="Times New Roman" w:eastAsia="Times New Roman" w:hAnsi="Times New Roman" w:cs="Times New Roman"/>
              <w:i/>
              <w:iCs/>
              <w:color w:val="000000"/>
              <w:sz w:val="24"/>
              <w:szCs w:val="24"/>
            </w:rPr>
            <w:t>Multidisiplin</w:t>
          </w:r>
          <w:proofErr w:type="spellEnd"/>
          <w:r w:rsidRPr="00057197">
            <w:rPr>
              <w:rFonts w:ascii="Times New Roman" w:eastAsia="Times New Roman" w:hAnsi="Times New Roman" w:cs="Times New Roman"/>
              <w:color w:val="000000"/>
              <w:sz w:val="24"/>
              <w:szCs w:val="24"/>
            </w:rPr>
            <w:t xml:space="preserve">, vol. 1, no. 3, pp. 660–676, May 2025, </w:t>
          </w:r>
          <w:proofErr w:type="spellStart"/>
          <w:r w:rsidRPr="00057197">
            <w:rPr>
              <w:rFonts w:ascii="Times New Roman" w:eastAsia="Times New Roman" w:hAnsi="Times New Roman" w:cs="Times New Roman"/>
              <w:color w:val="000000"/>
              <w:sz w:val="24"/>
              <w:szCs w:val="24"/>
            </w:rPr>
            <w:t>doi</w:t>
          </w:r>
          <w:proofErr w:type="spellEnd"/>
          <w:r w:rsidRPr="00057197">
            <w:rPr>
              <w:rFonts w:ascii="Times New Roman" w:eastAsia="Times New Roman" w:hAnsi="Times New Roman" w:cs="Times New Roman"/>
              <w:color w:val="000000"/>
              <w:sz w:val="24"/>
              <w:szCs w:val="24"/>
            </w:rPr>
            <w:t>: 10.63822/q8m27758.</w:t>
          </w:r>
        </w:p>
        <w:p w14:paraId="6E6A50EE" w14:textId="0C6F73BC" w:rsidR="00057197" w:rsidRPr="00057197" w:rsidRDefault="00057197" w:rsidP="00D7166A">
          <w:pPr>
            <w:spacing w:after="0"/>
            <w:jc w:val="both"/>
            <w:rPr>
              <w:rFonts w:ascii="Times New Roman" w:eastAsia="Times New Roman" w:hAnsi="Times New Roman" w:cs="Times New Roman"/>
              <w:sz w:val="24"/>
              <w:szCs w:val="24"/>
            </w:rPr>
          </w:pPr>
          <w:r w:rsidRPr="00057197">
            <w:rPr>
              <w:rFonts w:ascii="Times New Roman" w:eastAsia="Times New Roman" w:hAnsi="Times New Roman" w:cs="Times New Roman"/>
              <w:color w:val="000000"/>
              <w:sz w:val="24"/>
              <w:szCs w:val="24"/>
            </w:rPr>
            <w:t> </w:t>
          </w:r>
        </w:p>
      </w:sdtContent>
    </w:sdt>
    <w:sectPr w:rsidR="00057197" w:rsidRPr="00057197" w:rsidSect="00205CA7">
      <w:headerReference w:type="default" r:id="rId13"/>
      <w:pgSz w:w="11906" w:h="16838"/>
      <w:pgMar w:top="1440" w:right="1440" w:bottom="1440" w:left="1800" w:header="720" w:footer="720" w:gutter="0"/>
      <w:pgNumType w:start="10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9799A" w14:textId="77777777" w:rsidR="00B15ABA" w:rsidRDefault="00B15ABA">
      <w:pPr>
        <w:spacing w:after="0" w:line="240" w:lineRule="auto"/>
      </w:pPr>
      <w:r>
        <w:separator/>
      </w:r>
    </w:p>
  </w:endnote>
  <w:endnote w:type="continuationSeparator" w:id="0">
    <w:p w14:paraId="3CE4821B" w14:textId="77777777" w:rsidR="00B15ABA" w:rsidRDefault="00B15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D0CD9" w14:textId="77777777" w:rsidR="00E7226C" w:rsidRDefault="00F46DB7">
    <w:pPr>
      <w:pBdr>
        <w:top w:val="nil"/>
        <w:left w:val="nil"/>
        <w:bottom w:val="nil"/>
        <w:right w:val="nil"/>
        <w:between w:val="nil"/>
      </w:pBdr>
      <w:spacing w:after="0" w:line="240" w:lineRule="auto"/>
      <w:rPr>
        <w:color w:val="000000"/>
        <w:sz w:val="14"/>
        <w:szCs w:val="14"/>
      </w:rPr>
    </w:pPr>
    <w:bookmarkStart w:id="1" w:name="_heading=h.gjdgxs" w:colFirst="0" w:colLast="0"/>
    <w:bookmarkEnd w:id="1"/>
    <w:r>
      <w:rPr>
        <w:noProof/>
      </w:rPr>
      <w:drawing>
        <wp:anchor distT="0" distB="0" distL="0" distR="0" simplePos="0" relativeHeight="251658240" behindDoc="1" locked="0" layoutInCell="1" hidden="0" allowOverlap="1" wp14:anchorId="1A4D8185" wp14:editId="2A6E82FD">
          <wp:simplePos x="0" y="0"/>
          <wp:positionH relativeFrom="column">
            <wp:posOffset>2500630</wp:posOffset>
          </wp:positionH>
          <wp:positionV relativeFrom="paragraph">
            <wp:posOffset>55244</wp:posOffset>
          </wp:positionV>
          <wp:extent cx="762000" cy="14605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2000" cy="146050"/>
                  </a:xfrm>
                  <a:prstGeom prst="rect">
                    <a:avLst/>
                  </a:prstGeom>
                  <a:ln/>
                </pic:spPr>
              </pic:pic>
            </a:graphicData>
          </a:graphic>
        </wp:anchor>
      </w:drawing>
    </w:r>
    <w:r>
      <w:rPr>
        <w:noProof/>
      </w:rPr>
      <w:drawing>
        <wp:anchor distT="0" distB="0" distL="0" distR="0" simplePos="0" relativeHeight="251659264" behindDoc="1" locked="0" layoutInCell="1" hidden="0" allowOverlap="1" wp14:anchorId="6CA3FC2C" wp14:editId="6A0E2323">
          <wp:simplePos x="0" y="0"/>
          <wp:positionH relativeFrom="column">
            <wp:posOffset>6069965</wp:posOffset>
          </wp:positionH>
          <wp:positionV relativeFrom="paragraph">
            <wp:posOffset>10034905</wp:posOffset>
          </wp:positionV>
          <wp:extent cx="762000" cy="14287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2000" cy="142875"/>
                  </a:xfrm>
                  <a:prstGeom prst="rect">
                    <a:avLst/>
                  </a:prstGeom>
                  <a:ln/>
                </pic:spPr>
              </pic:pic>
            </a:graphicData>
          </a:graphic>
        </wp:anchor>
      </w:drawing>
    </w:r>
    <w:r>
      <w:rPr>
        <w:noProof/>
      </w:rPr>
      <w:drawing>
        <wp:anchor distT="0" distB="0" distL="0" distR="0" simplePos="0" relativeHeight="251660288" behindDoc="1" locked="0" layoutInCell="1" hidden="0" allowOverlap="1" wp14:anchorId="3B66D8FF" wp14:editId="739F7BF6">
          <wp:simplePos x="0" y="0"/>
          <wp:positionH relativeFrom="column">
            <wp:posOffset>6069965</wp:posOffset>
          </wp:positionH>
          <wp:positionV relativeFrom="paragraph">
            <wp:posOffset>10034905</wp:posOffset>
          </wp:positionV>
          <wp:extent cx="762000" cy="14287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2000" cy="142875"/>
                  </a:xfrm>
                  <a:prstGeom prst="rect">
                    <a:avLst/>
                  </a:prstGeom>
                  <a:ln/>
                </pic:spPr>
              </pic:pic>
            </a:graphicData>
          </a:graphic>
        </wp:anchor>
      </w:drawing>
    </w:r>
  </w:p>
  <w:p w14:paraId="7642CF93" w14:textId="77777777" w:rsidR="00E7226C" w:rsidRDefault="00E7226C">
    <w:pPr>
      <w:pBdr>
        <w:top w:val="nil"/>
        <w:left w:val="nil"/>
        <w:bottom w:val="nil"/>
        <w:right w:val="nil"/>
        <w:between w:val="nil"/>
      </w:pBdr>
      <w:spacing w:after="0" w:line="240" w:lineRule="auto"/>
      <w:rPr>
        <w:color w:val="000000"/>
        <w:sz w:val="14"/>
        <w:szCs w:val="14"/>
      </w:rPr>
    </w:pPr>
  </w:p>
  <w:p w14:paraId="7C222639" w14:textId="77777777" w:rsidR="00E7226C" w:rsidRDefault="00F46DB7">
    <w:pPr>
      <w:pBdr>
        <w:top w:val="nil"/>
        <w:left w:val="nil"/>
        <w:bottom w:val="nil"/>
        <w:right w:val="nil"/>
        <w:between w:val="nil"/>
      </w:pBdr>
      <w:spacing w:after="0" w:line="240" w:lineRule="auto"/>
      <w:jc w:val="center"/>
      <w:rPr>
        <w:color w:val="000000"/>
        <w:sz w:val="14"/>
        <w:szCs w:val="14"/>
      </w:rPr>
    </w:pPr>
    <w:r>
      <w:rPr>
        <w:color w:val="000000"/>
        <w:sz w:val="14"/>
        <w:szCs w:val="14"/>
      </w:rPr>
      <w:t>This work is licensed under a</w:t>
    </w:r>
  </w:p>
  <w:p w14:paraId="4521413B" w14:textId="77777777" w:rsidR="00E7226C" w:rsidRDefault="00F46DB7">
    <w:pPr>
      <w:pBdr>
        <w:top w:val="nil"/>
        <w:left w:val="nil"/>
        <w:bottom w:val="nil"/>
        <w:right w:val="nil"/>
        <w:between w:val="nil"/>
      </w:pBdr>
      <w:spacing w:after="0" w:line="240" w:lineRule="auto"/>
      <w:jc w:val="center"/>
      <w:rPr>
        <w:color w:val="000000"/>
        <w:sz w:val="14"/>
        <w:szCs w:val="14"/>
      </w:rPr>
    </w:pPr>
    <w:r>
      <w:rPr>
        <w:color w:val="000000"/>
        <w:sz w:val="14"/>
        <w:szCs w:val="14"/>
      </w:rPr>
      <w:t>Creative Commons Attribution-</w:t>
    </w:r>
    <w:proofErr w:type="spellStart"/>
    <w:r>
      <w:rPr>
        <w:color w:val="000000"/>
        <w:sz w:val="14"/>
        <w:szCs w:val="14"/>
      </w:rPr>
      <w:t>ShareAlike</w:t>
    </w:r>
    <w:proofErr w:type="spellEnd"/>
    <w:r>
      <w:rPr>
        <w:color w:val="000000"/>
        <w:sz w:val="14"/>
        <w:szCs w:val="14"/>
      </w:rPr>
      <w:t xml:space="preserve"> 4.0 International License.</w:t>
    </w:r>
  </w:p>
  <w:p w14:paraId="27D05D43" w14:textId="77777777" w:rsidR="00E7226C" w:rsidRDefault="00E7226C">
    <w:pPr>
      <w:pBdr>
        <w:top w:val="nil"/>
        <w:left w:val="nil"/>
        <w:bottom w:val="nil"/>
        <w:right w:val="nil"/>
        <w:between w:val="nil"/>
      </w:pBdr>
      <w:spacing w:after="0" w:line="240" w:lineRule="auto"/>
      <w:jc w:val="center"/>
      <w:rPr>
        <w:color w:val="000000"/>
        <w:sz w:val="14"/>
        <w:szCs w:val="14"/>
      </w:rPr>
    </w:pPr>
  </w:p>
  <w:p w14:paraId="7F968B3C" w14:textId="77777777" w:rsidR="00E7226C" w:rsidRDefault="00F46DB7">
    <w:pPr>
      <w:pBdr>
        <w:top w:val="nil"/>
        <w:left w:val="nil"/>
        <w:bottom w:val="nil"/>
        <w:right w:val="nil"/>
        <w:between w:val="nil"/>
      </w:pBdr>
      <w:spacing w:after="0" w:line="240" w:lineRule="auto"/>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C968FD">
      <w:rPr>
        <w:noProof/>
        <w:color w:val="000000"/>
      </w:rPr>
      <w:t>1</w:t>
    </w:r>
    <w:r>
      <w:rPr>
        <w:color w:val="000000"/>
      </w:rPr>
      <w:fldChar w:fldCharType="end"/>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28A80" w14:textId="77777777" w:rsidR="00B15ABA" w:rsidRDefault="00B15ABA">
      <w:pPr>
        <w:spacing w:after="0" w:line="240" w:lineRule="auto"/>
      </w:pPr>
      <w:r>
        <w:separator/>
      </w:r>
    </w:p>
  </w:footnote>
  <w:footnote w:type="continuationSeparator" w:id="0">
    <w:p w14:paraId="7E1912FC" w14:textId="77777777" w:rsidR="00B15ABA" w:rsidRDefault="00B15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CA60B" w14:textId="0018A1DA" w:rsidR="00205CA7" w:rsidRDefault="00205CA7" w:rsidP="00205CA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B74CB" w14:textId="75751ED5" w:rsidR="00205CA7" w:rsidRPr="008F674D" w:rsidRDefault="008F674D" w:rsidP="00205CA7">
    <w:pPr>
      <w:pStyle w:val="NormalWeb"/>
      <w:spacing w:before="0" w:beforeAutospacing="0" w:after="0" w:afterAutospacing="0"/>
      <w:jc w:val="center"/>
      <w:rPr>
        <w:bCs/>
        <w:i/>
      </w:rPr>
    </w:pPr>
    <w:r w:rsidRPr="008F674D">
      <w:rPr>
        <w:bCs/>
        <w:i/>
        <w:color w:val="000000"/>
        <w:sz w:val="20"/>
        <w:szCs w:val="20"/>
        <w:lang w:val="en-US"/>
      </w:rPr>
      <w:t xml:space="preserve">Socio-Ecological Justice in Waste Governance: Community Resilience in Peri-Urban </w:t>
    </w:r>
    <w:proofErr w:type="spellStart"/>
    <w:r w:rsidRPr="008F674D">
      <w:rPr>
        <w:bCs/>
        <w:i/>
        <w:color w:val="000000"/>
        <w:sz w:val="20"/>
        <w:szCs w:val="20"/>
        <w:lang w:val="en-US"/>
      </w:rPr>
      <w:t>Piyungan</w:t>
    </w:r>
    <w:proofErr w:type="spellEnd"/>
    <w:r w:rsidRPr="008F674D">
      <w:rPr>
        <w:bCs/>
        <w:i/>
        <w:color w:val="000000"/>
        <w:sz w:val="20"/>
        <w:szCs w:val="20"/>
        <w:lang w:val="en-US"/>
      </w:rPr>
      <w:t>, Yogyakarta</w:t>
    </w:r>
  </w:p>
  <w:p w14:paraId="6E9C5FEB" w14:textId="283C2C80" w:rsidR="00205CA7" w:rsidRDefault="00205CA7" w:rsidP="00205CA7">
    <w:pPr>
      <w:pStyle w:val="Header"/>
      <w:jc w:val="center"/>
    </w:pPr>
    <w:r w:rsidRPr="00D370BA">
      <w:rPr>
        <w:rFonts w:ascii="Times New Roman" w:hAnsi="Times New Roman" w:cs="Times New Roman"/>
        <w:i/>
        <w:color w:val="000000"/>
        <w:sz w:val="20"/>
        <w:szCs w:val="20"/>
      </w:rPr>
      <w:t xml:space="preserve">Volume 3 </w:t>
    </w:r>
    <w:proofErr w:type="spellStart"/>
    <w:r w:rsidRPr="00D370BA">
      <w:rPr>
        <w:rFonts w:ascii="Times New Roman" w:hAnsi="Times New Roman" w:cs="Times New Roman"/>
        <w:i/>
        <w:color w:val="000000"/>
        <w:sz w:val="20"/>
        <w:szCs w:val="20"/>
      </w:rPr>
      <w:t>Nomor</w:t>
    </w:r>
    <w:proofErr w:type="spellEnd"/>
    <w:r w:rsidRPr="00D370BA">
      <w:rPr>
        <w:rFonts w:ascii="Times New Roman" w:hAnsi="Times New Roman" w:cs="Times New Roman"/>
        <w:i/>
        <w:color w:val="000000"/>
        <w:sz w:val="20"/>
        <w:szCs w:val="20"/>
      </w:rPr>
      <w:t xml:space="preserve"> 2 Mei 2025 Hal </w:t>
    </w:r>
    <w:r w:rsidR="00D37577">
      <w:rPr>
        <w:rFonts w:ascii="Times New Roman" w:hAnsi="Times New Roman" w:cs="Times New Roman"/>
        <w:i/>
        <w:color w:val="000000"/>
        <w:sz w:val="20"/>
        <w:szCs w:val="20"/>
      </w:rPr>
      <w:t>107</w:t>
    </w:r>
    <w:r w:rsidRPr="00D370BA">
      <w:rPr>
        <w:rFonts w:ascii="Times New Roman" w:hAnsi="Times New Roman" w:cs="Times New Roman"/>
        <w:i/>
        <w:color w:val="000000"/>
        <w:sz w:val="20"/>
        <w:szCs w:val="20"/>
      </w:rPr>
      <w:t>-</w:t>
    </w:r>
    <w:r w:rsidR="00D37577">
      <w:rPr>
        <w:rFonts w:ascii="Times New Roman" w:hAnsi="Times New Roman" w:cs="Times New Roman"/>
        <w:i/>
        <w:color w:val="000000"/>
        <w:sz w:val="20"/>
        <w:szCs w:val="20"/>
      </w:rPr>
      <w:t>120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F3E36"/>
    <w:multiLevelType w:val="multilevel"/>
    <w:tmpl w:val="A84CDD3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781534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26C"/>
    <w:rsid w:val="00057197"/>
    <w:rsid w:val="00140016"/>
    <w:rsid w:val="00205CA7"/>
    <w:rsid w:val="00315A5F"/>
    <w:rsid w:val="00400714"/>
    <w:rsid w:val="00572E4A"/>
    <w:rsid w:val="006B6052"/>
    <w:rsid w:val="007059E8"/>
    <w:rsid w:val="007A0D03"/>
    <w:rsid w:val="008871B9"/>
    <w:rsid w:val="008F674D"/>
    <w:rsid w:val="00A41E04"/>
    <w:rsid w:val="00AA7E01"/>
    <w:rsid w:val="00B15ABA"/>
    <w:rsid w:val="00C968FD"/>
    <w:rsid w:val="00D37577"/>
    <w:rsid w:val="00D7166A"/>
    <w:rsid w:val="00D7788C"/>
    <w:rsid w:val="00E7226C"/>
    <w:rsid w:val="00E91720"/>
    <w:rsid w:val="00F46DB7"/>
    <w:rsid w:val="00F509AD"/>
    <w:rsid w:val="00FE4592"/>
    <w:rsid w:val="00FF569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EFB300"/>
  <w15:docId w15:val="{4921AE5D-727C-4EFE-94AB-66ABFD303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968FD"/>
    <w:rPr>
      <w:sz w:val="16"/>
      <w:szCs w:val="16"/>
    </w:rPr>
  </w:style>
  <w:style w:type="paragraph" w:styleId="CommentText">
    <w:name w:val="annotation text"/>
    <w:basedOn w:val="Normal"/>
    <w:link w:val="CommentTextChar"/>
    <w:uiPriority w:val="99"/>
    <w:semiHidden/>
    <w:unhideWhenUsed/>
    <w:rsid w:val="00C968FD"/>
    <w:pPr>
      <w:spacing w:line="240" w:lineRule="auto"/>
    </w:pPr>
    <w:rPr>
      <w:sz w:val="20"/>
      <w:szCs w:val="20"/>
    </w:rPr>
  </w:style>
  <w:style w:type="character" w:customStyle="1" w:styleId="CommentTextChar">
    <w:name w:val="Comment Text Char"/>
    <w:basedOn w:val="DefaultParagraphFont"/>
    <w:link w:val="CommentText"/>
    <w:uiPriority w:val="99"/>
    <w:semiHidden/>
    <w:rsid w:val="00C968FD"/>
    <w:rPr>
      <w:sz w:val="20"/>
      <w:szCs w:val="20"/>
    </w:rPr>
  </w:style>
  <w:style w:type="paragraph" w:styleId="CommentSubject">
    <w:name w:val="annotation subject"/>
    <w:basedOn w:val="CommentText"/>
    <w:next w:val="CommentText"/>
    <w:link w:val="CommentSubjectChar"/>
    <w:uiPriority w:val="99"/>
    <w:semiHidden/>
    <w:unhideWhenUsed/>
    <w:rsid w:val="00C968FD"/>
    <w:rPr>
      <w:b/>
      <w:bCs/>
    </w:rPr>
  </w:style>
  <w:style w:type="character" w:customStyle="1" w:styleId="CommentSubjectChar">
    <w:name w:val="Comment Subject Char"/>
    <w:basedOn w:val="CommentTextChar"/>
    <w:link w:val="CommentSubject"/>
    <w:uiPriority w:val="99"/>
    <w:semiHidden/>
    <w:rsid w:val="00C968FD"/>
    <w:rPr>
      <w:b/>
      <w:bCs/>
      <w:sz w:val="20"/>
      <w:szCs w:val="20"/>
    </w:rPr>
  </w:style>
  <w:style w:type="character" w:styleId="Strong">
    <w:name w:val="Strong"/>
    <w:basedOn w:val="DefaultParagraphFont"/>
    <w:uiPriority w:val="22"/>
    <w:qFormat/>
    <w:rsid w:val="00057197"/>
    <w:rPr>
      <w:b/>
      <w:bCs/>
    </w:rPr>
  </w:style>
  <w:style w:type="paragraph" w:styleId="NormalWeb">
    <w:name w:val="Normal (Web)"/>
    <w:basedOn w:val="Normal"/>
    <w:uiPriority w:val="99"/>
    <w:unhideWhenUsed/>
    <w:rsid w:val="00057197"/>
    <w:pPr>
      <w:spacing w:before="100" w:beforeAutospacing="1" w:after="100" w:afterAutospacing="1" w:line="240" w:lineRule="auto"/>
    </w:pPr>
    <w:rPr>
      <w:rFonts w:ascii="Times New Roman" w:eastAsia="Times New Roman" w:hAnsi="Times New Roman" w:cs="Times New Roman"/>
      <w:sz w:val="24"/>
      <w:szCs w:val="24"/>
      <w:lang w:val="en-ID"/>
    </w:rPr>
  </w:style>
  <w:style w:type="character" w:styleId="Emphasis">
    <w:name w:val="Emphasis"/>
    <w:basedOn w:val="DefaultParagraphFont"/>
    <w:uiPriority w:val="20"/>
    <w:qFormat/>
    <w:rsid w:val="00057197"/>
    <w:rPr>
      <w:i/>
      <w:iCs/>
    </w:rPr>
  </w:style>
  <w:style w:type="character" w:styleId="PlaceholderText">
    <w:name w:val="Placeholder Text"/>
    <w:basedOn w:val="DefaultParagraphFont"/>
    <w:uiPriority w:val="99"/>
    <w:semiHidden/>
    <w:rsid w:val="00057197"/>
    <w:rPr>
      <w:color w:val="808080"/>
    </w:rPr>
  </w:style>
  <w:style w:type="paragraph" w:styleId="Header">
    <w:name w:val="header"/>
    <w:basedOn w:val="Normal"/>
    <w:link w:val="HeaderChar"/>
    <w:uiPriority w:val="99"/>
    <w:unhideWhenUsed/>
    <w:rsid w:val="00205C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CA7"/>
  </w:style>
  <w:style w:type="paragraph" w:styleId="Footer">
    <w:name w:val="footer"/>
    <w:basedOn w:val="Normal"/>
    <w:link w:val="FooterChar"/>
    <w:uiPriority w:val="99"/>
    <w:unhideWhenUsed/>
    <w:rsid w:val="00205C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879621">
      <w:bodyDiv w:val="1"/>
      <w:marLeft w:val="0"/>
      <w:marRight w:val="0"/>
      <w:marTop w:val="0"/>
      <w:marBottom w:val="0"/>
      <w:divBdr>
        <w:top w:val="none" w:sz="0" w:space="0" w:color="auto"/>
        <w:left w:val="none" w:sz="0" w:space="0" w:color="auto"/>
        <w:bottom w:val="none" w:sz="0" w:space="0" w:color="auto"/>
        <w:right w:val="none" w:sz="0" w:space="0" w:color="auto"/>
      </w:divBdr>
    </w:div>
    <w:div w:id="1472597510">
      <w:bodyDiv w:val="1"/>
      <w:marLeft w:val="0"/>
      <w:marRight w:val="0"/>
      <w:marTop w:val="0"/>
      <w:marBottom w:val="0"/>
      <w:divBdr>
        <w:top w:val="none" w:sz="0" w:space="0" w:color="auto"/>
        <w:left w:val="none" w:sz="0" w:space="0" w:color="auto"/>
        <w:bottom w:val="none" w:sz="0" w:space="0" w:color="auto"/>
        <w:right w:val="none" w:sz="0" w:space="0" w:color="auto"/>
      </w:divBdr>
      <w:divsChild>
        <w:div w:id="1944067574">
          <w:marLeft w:val="640"/>
          <w:marRight w:val="0"/>
          <w:marTop w:val="0"/>
          <w:marBottom w:val="0"/>
          <w:divBdr>
            <w:top w:val="none" w:sz="0" w:space="0" w:color="auto"/>
            <w:left w:val="none" w:sz="0" w:space="0" w:color="auto"/>
            <w:bottom w:val="none" w:sz="0" w:space="0" w:color="auto"/>
            <w:right w:val="none" w:sz="0" w:space="0" w:color="auto"/>
          </w:divBdr>
        </w:div>
        <w:div w:id="121844917">
          <w:marLeft w:val="640"/>
          <w:marRight w:val="0"/>
          <w:marTop w:val="0"/>
          <w:marBottom w:val="0"/>
          <w:divBdr>
            <w:top w:val="none" w:sz="0" w:space="0" w:color="auto"/>
            <w:left w:val="none" w:sz="0" w:space="0" w:color="auto"/>
            <w:bottom w:val="none" w:sz="0" w:space="0" w:color="auto"/>
            <w:right w:val="none" w:sz="0" w:space="0" w:color="auto"/>
          </w:divBdr>
        </w:div>
        <w:div w:id="728958686">
          <w:marLeft w:val="640"/>
          <w:marRight w:val="0"/>
          <w:marTop w:val="0"/>
          <w:marBottom w:val="0"/>
          <w:divBdr>
            <w:top w:val="none" w:sz="0" w:space="0" w:color="auto"/>
            <w:left w:val="none" w:sz="0" w:space="0" w:color="auto"/>
            <w:bottom w:val="none" w:sz="0" w:space="0" w:color="auto"/>
            <w:right w:val="none" w:sz="0" w:space="0" w:color="auto"/>
          </w:divBdr>
        </w:div>
        <w:div w:id="2087333611">
          <w:marLeft w:val="640"/>
          <w:marRight w:val="0"/>
          <w:marTop w:val="0"/>
          <w:marBottom w:val="0"/>
          <w:divBdr>
            <w:top w:val="none" w:sz="0" w:space="0" w:color="auto"/>
            <w:left w:val="none" w:sz="0" w:space="0" w:color="auto"/>
            <w:bottom w:val="none" w:sz="0" w:space="0" w:color="auto"/>
            <w:right w:val="none" w:sz="0" w:space="0" w:color="auto"/>
          </w:divBdr>
        </w:div>
        <w:div w:id="116412172">
          <w:marLeft w:val="640"/>
          <w:marRight w:val="0"/>
          <w:marTop w:val="0"/>
          <w:marBottom w:val="0"/>
          <w:divBdr>
            <w:top w:val="none" w:sz="0" w:space="0" w:color="auto"/>
            <w:left w:val="none" w:sz="0" w:space="0" w:color="auto"/>
            <w:bottom w:val="none" w:sz="0" w:space="0" w:color="auto"/>
            <w:right w:val="none" w:sz="0" w:space="0" w:color="auto"/>
          </w:divBdr>
        </w:div>
        <w:div w:id="330371981">
          <w:marLeft w:val="640"/>
          <w:marRight w:val="0"/>
          <w:marTop w:val="0"/>
          <w:marBottom w:val="0"/>
          <w:divBdr>
            <w:top w:val="none" w:sz="0" w:space="0" w:color="auto"/>
            <w:left w:val="none" w:sz="0" w:space="0" w:color="auto"/>
            <w:bottom w:val="none" w:sz="0" w:space="0" w:color="auto"/>
            <w:right w:val="none" w:sz="0" w:space="0" w:color="auto"/>
          </w:divBdr>
        </w:div>
        <w:div w:id="315687546">
          <w:marLeft w:val="640"/>
          <w:marRight w:val="0"/>
          <w:marTop w:val="0"/>
          <w:marBottom w:val="0"/>
          <w:divBdr>
            <w:top w:val="none" w:sz="0" w:space="0" w:color="auto"/>
            <w:left w:val="none" w:sz="0" w:space="0" w:color="auto"/>
            <w:bottom w:val="none" w:sz="0" w:space="0" w:color="auto"/>
            <w:right w:val="none" w:sz="0" w:space="0" w:color="auto"/>
          </w:divBdr>
        </w:div>
        <w:div w:id="2134209279">
          <w:marLeft w:val="640"/>
          <w:marRight w:val="0"/>
          <w:marTop w:val="0"/>
          <w:marBottom w:val="0"/>
          <w:divBdr>
            <w:top w:val="none" w:sz="0" w:space="0" w:color="auto"/>
            <w:left w:val="none" w:sz="0" w:space="0" w:color="auto"/>
            <w:bottom w:val="none" w:sz="0" w:space="0" w:color="auto"/>
            <w:right w:val="none" w:sz="0" w:space="0" w:color="auto"/>
          </w:divBdr>
        </w:div>
        <w:div w:id="971250910">
          <w:marLeft w:val="640"/>
          <w:marRight w:val="0"/>
          <w:marTop w:val="0"/>
          <w:marBottom w:val="0"/>
          <w:divBdr>
            <w:top w:val="none" w:sz="0" w:space="0" w:color="auto"/>
            <w:left w:val="none" w:sz="0" w:space="0" w:color="auto"/>
            <w:bottom w:val="none" w:sz="0" w:space="0" w:color="auto"/>
            <w:right w:val="none" w:sz="0" w:space="0" w:color="auto"/>
          </w:divBdr>
        </w:div>
        <w:div w:id="2048871566">
          <w:marLeft w:val="640"/>
          <w:marRight w:val="0"/>
          <w:marTop w:val="0"/>
          <w:marBottom w:val="0"/>
          <w:divBdr>
            <w:top w:val="none" w:sz="0" w:space="0" w:color="auto"/>
            <w:left w:val="none" w:sz="0" w:space="0" w:color="auto"/>
            <w:bottom w:val="none" w:sz="0" w:space="0" w:color="auto"/>
            <w:right w:val="none" w:sz="0" w:space="0" w:color="auto"/>
          </w:divBdr>
        </w:div>
        <w:div w:id="360938028">
          <w:marLeft w:val="640"/>
          <w:marRight w:val="0"/>
          <w:marTop w:val="0"/>
          <w:marBottom w:val="0"/>
          <w:divBdr>
            <w:top w:val="none" w:sz="0" w:space="0" w:color="auto"/>
            <w:left w:val="none" w:sz="0" w:space="0" w:color="auto"/>
            <w:bottom w:val="none" w:sz="0" w:space="0" w:color="auto"/>
            <w:right w:val="none" w:sz="0" w:space="0" w:color="auto"/>
          </w:divBdr>
        </w:div>
        <w:div w:id="181435909">
          <w:marLeft w:val="640"/>
          <w:marRight w:val="0"/>
          <w:marTop w:val="0"/>
          <w:marBottom w:val="0"/>
          <w:divBdr>
            <w:top w:val="none" w:sz="0" w:space="0" w:color="auto"/>
            <w:left w:val="none" w:sz="0" w:space="0" w:color="auto"/>
            <w:bottom w:val="none" w:sz="0" w:space="0" w:color="auto"/>
            <w:right w:val="none" w:sz="0" w:space="0" w:color="auto"/>
          </w:divBdr>
        </w:div>
        <w:div w:id="1132481218">
          <w:marLeft w:val="640"/>
          <w:marRight w:val="0"/>
          <w:marTop w:val="0"/>
          <w:marBottom w:val="0"/>
          <w:divBdr>
            <w:top w:val="none" w:sz="0" w:space="0" w:color="auto"/>
            <w:left w:val="none" w:sz="0" w:space="0" w:color="auto"/>
            <w:bottom w:val="none" w:sz="0" w:space="0" w:color="auto"/>
            <w:right w:val="none" w:sz="0" w:space="0" w:color="auto"/>
          </w:divBdr>
        </w:div>
        <w:div w:id="366686721">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doi.org/10.55314/xxx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89D272A-F77C-4A70-B1B7-C5B869A67D02}"/>
      </w:docPartPr>
      <w:docPartBody>
        <w:p w:rsidR="00C628AF" w:rsidRDefault="00AB3671">
          <w:r w:rsidRPr="009D5AF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671"/>
    <w:rsid w:val="00400714"/>
    <w:rsid w:val="008A5D95"/>
    <w:rsid w:val="00AB3671"/>
    <w:rsid w:val="00C628AF"/>
    <w:rsid w:val="00DE3E0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36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E5E3D0-1606-451E-B07D-C894FBA1B615}">
  <we:reference id="wa104382081" version="1.55.1.0" store="en-US" storeType="OMEX"/>
  <we:alternateReferences>
    <we:reference id="wa104382081" version="1.55.1.0" store="" storeType="OMEX"/>
  </we:alternateReferences>
  <we:properties>
    <we:property name="MENDELEY_CITATIONS" value="[{&quot;citationID&quot;:&quot;MENDELEY_CITATION_2202ffe3-7965-4374-822f-ed681c3a08bc&quot;,&quot;properties&quot;:{&quot;noteIndex&quot;:0},&quot;isEdited&quot;:false,&quot;manualOverride&quot;:{&quot;isManuallyOverridden&quot;:false,&quot;citeprocText&quot;:&quot;[1]&quot;,&quot;manualOverrideText&quot;:&quot;&quot;},&quot;citationTag&quot;:&quot;MENDELEY_CITATION_v3_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&quot;,&quot;citationItems&quot;:[{&quot;id&quot;:&quot;6218e4ec-b5ab-3d3c-8afa-d8d44af949c2&quot;,&quot;itemData&quot;:{&quot;type&quot;:&quot;webpage&quot;,&quot;id&quot;:&quot;6218e4ec-b5ab-3d3c-8afa-d8d44af949c2&quot;,&quot;title&quot;:&quot;Metabolic Fractures in Piyungan: The Waste Emergency in Yogyakarta&quot;,&quot;author&quot;:[{&quot;family&quot;:&quot;Progressive International&quot;,&quot;given&quot;:&quot;&quot;,&quot;parse-names&quot;:false,&quot;dropping-particle&quot;:&quot;&quot;,&quot;non-dropping-particle&quot;:&quot;&quot;}],&quot;accessed&quot;:{&quot;date-parts&quot;:[[2025,7,3]]},&quot;URL&quot;:&quot;https://progressive.international/wire/2025-02-04-metabolic-fractures-in-piyungan-the-waste-emergency-in-yogyakarta/en/&quot;,&quot;issued&quot;:{&quot;date-parts&quot;:[[2025,2,4]]}},&quot;isTemporary&quot;:false,&quot;suppress-author&quot;:false,&quot;composite&quot;:false,&quot;author-only&quot;:false}]},{&quot;citationID&quot;:&quot;MENDELEY_CITATION_99b910db-199f-4f90-9695-7309d1c8eebb&quot;,&quot;properties&quot;:{&quot;noteIndex&quot;:0},&quot;isEdited&quot;:false,&quot;manualOverride&quot;:{&quot;isManuallyOverridden&quot;:false,&quot;citeprocText&quot;:&quot;[2]&quot;,&quot;manualOverrideText&quot;:&quot;&quot;},&quot;citationTag&quot;:&quot;MENDELEY_CITATION_v3_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&quot;,&quot;citationItems&quot;:[{&quot;id&quot;:&quot;8592e619-021e-3a82-97f5-0a7e54f2b542&quot;,&quot;itemData&quot;:{&quot;type&quot;:&quot;webpage&quot;,&quot;id&quot;:&quot;8592e619-021e-3a82-97f5-0a7e54f2b542&quot;,&quot;title&quot;:&quot;Environment Minister Slams Yogyakarta City’s Mounting Waste Problem&quot;,&quot;author&quot;:[{&quot;family&quot;:&quot;The Jakarta Post&quot;,&quot;given&quot;:&quot;&quot;,&quot;parse-names&quot;:false,&quot;dropping-particle&quot;:&quot;&quot;,&quot;non-dropping-particle&quot;:&quot;&quot;}],&quot;accessed&quot;:{&quot;date-parts&quot;:[[2025,7,3]]},&quot;URL&quot;:&quot;https://www.thejakartapost.com/indonesia/2024/11/20/environment-minister-slams-yogyakarta-citys-mounting-waste-problem.html&quot;,&quot;issued&quot;:{&quot;date-parts&quot;:[[2024,11,20]]},&quot;container-title-short&quot;:&quot;&quot;},&quot;isTemporary&quot;:false,&quot;suppress-author&quot;:false,&quot;composite&quot;:false,&quot;author-only&quot;:false}]},{&quot;citationID&quot;:&quot;MENDELEY_CITATION_695fe6cb-1d89-4d69-ab18-a11b50f2aa49&quot;,&quot;properties&quot;:{&quot;noteIndex&quot;:0},&quot;isEdited&quot;:false,&quot;manualOverride&quot;:{&quot;isManuallyOverridden&quot;:false,&quot;citeprocText&quot;:&quot;[3]&quot;,&quot;manualOverrideText&quot;:&quot;&quot;},&quot;citationTag&quot;:&quot;MENDELEY_CITATION_v3_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&quot;,&quot;citationItems&quot;:[{&quot;id&quot;:&quot;8ef16891-4e4f-3c26-b4c5-1306983f5035&quot;,&quot;itemData&quot;:{&quot;type&quot;:&quot;article-journal&quot;,&quot;id&quot;:&quot;8ef16891-4e4f-3c26-b4c5-1306983f5035&quot;,&quot;title&quot;:&quot;Governance of Waste in Indonesia: Implementing Policies and Role of Local Authorities&quot;,&quot;author&quot;:[{&quot;family&quot;:&quot;Yusriadi&quot;,&quot;given&quot;:&quot;Yusriadi&quot;,&quot;parse-names&quot;:false,&quot;dropping-particle&quot;:&quot;&quot;,&quot;non-dropping-particle&quot;:&quot;&quot;},{&quot;family&quot;:&quot;Ybnu&quot;,&quot;given&quot;:&quot;Muhammad T&quot;,&quot;parse-names&quot;:false,&quot;dropping-particle&quot;:&quot;&quot;,&quot;non-dropping-particle&quot;:&quot;&quot;},{&quot;family&quot;:&quot;Farida&quot;,&quot;given&quot;:&quot;Umi&quot;,&quot;parse-names&quot;:false,&quot;dropping-particle&quot;:&quot;&quot;,&quot;non-dropping-particle&quot;:&quot;&quot;},{&quot;family&quot;:&quot;Tinggi Ilmu Ekonomi AMKOP&quot;,&quot;given&quot;:&quot;Sekolah&quot;,&quot;parse-names&quot;:false,&quot;dropping-particle&quot;:&quot;&quot;,&quot;non-dropping-particle&quot;:&quot;&quot;}],&quot;container-title&quot;:&quot;Journal of Indonesian Scholars for Social Research Copyright&quot;,&quot;ISSN&quot;:&quot;2807-1468&quot;,&quot;issued&quot;:{&quot;date-parts&quot;:[[2023]]},&quot;page&quot;:&quot;124-129&quot;,&quot;abstract&quot;:&quot;This research scrutinizes the array of strategies deployed in managing waste banks across Indonesia, highlighting the nation's efforts to tackle the growing challenge of waste management. By analyzing data from existing literature and documentary sources, the study aims to understand how waste banks operate within the Indonesian context thoroughly. It reveals that the success of these waste banks varies significantly across different regions, pointing to a complex interplay of factors influencing their effectiveness. The findings of this research are particularly revealing, uncovering three main factors that influence the effectiveness of waste bank management: the availability of human and financial resources, the quality of organizational communication, and the organization's overall structure. These factors are crucial in determining how well waste banks function. Regions with adequate resources and efficient communication channels better manage waste effectively.&quot;,&quot;issue&quot;:&quot;2&quot;,&quot;volume&quot;:&quot;3&quot;,&quot;container-title-short&quot;:&quot;&quot;},&quot;isTemporary&quot;:false,&quot;suppress-author&quot;:false,&quot;composite&quot;:false,&quot;author-only&quot;:false}]},{&quot;citationID&quot;:&quot;MENDELEY_CITATION_06d445b6-9c35-4222-90bc-baaab23af6fc&quot;,&quot;properties&quot;:{&quot;noteIndex&quot;:0},&quot;isEdited&quot;:false,&quot;manualOverride&quot;:{&quot;isManuallyOverridden&quot;:false,&quot;citeprocText&quot;:&quot;[4]&quot;,&quot;manualOverrideText&quot;:&quot;&quot;},&quot;citationTag&quot;:&quot;MENDELEY_CITATION_v3_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&quot;,&quot;citationItems&quot;:[{&quot;id&quot;:&quot;c6dd3435-44ba-39da-a091-7d8049cf50b0&quot;,&quot;itemData&quot;:{&quot;type&quot;:&quot;webpage&quot;,&quot;id&quot;:&quot;c6dd3435-44ba-39da-a091-7d8049cf50b0&quot;,&quot;title&quot;:&quot;Solid Waste Management in Urban Areas: Final Report on Indonesia Technical Cooperation&quot;,&quot;author&quot;:[{&quot;family&quot;:&quot;Japan International Cooperation Agency (JICA)&quot;,&quot;given&quot;:&quot;&quot;,&quot;parse-names&quot;:false,&quot;dropping-particle&quot;:&quot;&quot;,&quot;non-dropping-particle&quot;:&quot;&quot;}],&quot;container-title&quot;:&quot;https://www.jica.go.jp/project/english/indonesia/016/publications/index.html&quot;,&quot;issued&quot;:{&quot;date-parts&quot;:[[2022]]},&quot;container-title-short&quot;:&quot;&quot;},&quot;isTemporary&quot;:false,&quot;suppress-author&quot;:false,&quot;composite&quot;:false,&quot;author-only&quot;:false}]},{&quot;citationID&quot;:&quot;MENDELEY_CITATION_b3f8b841-9ccf-46c3-a8a6-428c01e50639&quot;,&quot;properties&quot;:{&quot;noteIndex&quot;:0},&quot;isEdited&quot;:false,&quot;manualOverride&quot;:{&quot;isManuallyOverridden&quot;:false,&quot;citeprocText&quot;:&quot;[5]&quot;,&quot;manualOverrideText&quot;:&quot;&quot;},&quot;citationTag&quot;:&quot;MENDELEY_CITATION_v3_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&quot;,&quot;citationItems&quot;:[{&quot;id&quot;:&quot;da2ce0ef-d182-30ca-9010-4d1a0906a36a&quot;,&quot;itemData&quot;:{&quot;type&quot;:&quot;article-journal&quot;,&quot;id&quot;:&quot;da2ce0ef-d182-30ca-9010-4d1a0906a36a&quot;,&quot;title&quot;:&quot;Collaborative Leadership and Performance: Towards Development of a New Theoretical Model&quot;,&quot;author&quot;:[{&quot;family&quot;:&quot;A. Ang’ana&quot;,&quot;given&quot;:&quot;Gilbert&quot;,&quot;parse-names&quot;:false,&quot;dropping-particle&quot;:&quot;&quot;,&quot;non-dropping-particle&quot;:&quot;&quot;},{&quot;family&quot;:&quot;Walter J. Ongeti&quot;,&quot;given&quot;:&quot;Dr.&quot;,&quot;parse-names&quot;:false,&quot;dropping-particle&quot;:&quot;&quot;,&quot;non-dropping-particle&quot;:&quot;&quot;}],&quot;container-title&quot;:&quot;Journal of Business and Management Sciences&quot;,&quot;DOI&quot;:&quot;10.12691/jbms-11-6-1&quot;,&quot;ISSN&quot;:&quot;2333-4495&quot;,&quot;issued&quot;:{&quot;date-parts&quot;:[[2023,11,21]]},&quot;page&quot;:&quot;297-308&quot;,&quot;publisher&quot;:&quot;Science and Education Publishing Co., Ltd.&quot;,&quot;issue&quot;:&quot;6&quot;,&quot;volume&quot;:&quot;11&quot;,&quot;container-title-short&quot;:&quot;&quot;},&quot;isTemporary&quot;:false,&quot;suppress-author&quot;:false,&quot;composite&quot;:false,&quot;author-only&quot;:false}]},{&quot;citationID&quot;:&quot;MENDELEY_CITATION_12746333-107c-4d7a-8cec-250128cd3ba2&quot;,&quot;properties&quot;:{&quot;noteIndex&quot;:0},&quot;isEdited&quot;:false,&quot;manualOverride&quot;:{&quot;isManuallyOverridden&quot;:false,&quot;citeprocText&quot;:&quot;[6]&quot;,&quot;manualOverrideText&quot;:&quot;&quot;},&quot;citationTag&quot;:&quot;MENDELEY_CITATION_v3_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quot;,&quot;citationItems&quot;:[{&quot;id&quot;:&quot;9a6df1fe-c433-36c7-aa7f-5fd3018f6efc&quot;,&quot;itemData&quot;:{&quot;type&quot;:&quot;article-journal&quot;,&quot;id&quot;:&quot;9a6df1fe-c433-36c7-aa7f-5fd3018f6efc&quot;,&quot;title&quot;:&quot;Just sustainabilities: development in an unequal world&quot;,&quot;author&quot;:[{&quot;family&quot;:&quot;Orvos&quot;,&quot;given&quot;:&quot;David&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1279d38c-87d9-4ad2-ac22-86f224edb23b&quot;,&quot;properties&quot;:{&quot;noteIndex&quot;:0},&quot;isEdited&quot;:false,&quot;manualOverride&quot;:{&quot;isManuallyOverridden&quot;:false,&quot;citeprocText&quot;:&quot;[7]&quot;,&quot;manualOverrideText&quot;:&quot;&quot;},&quot;citationTag&quot;:&quot;MENDELEY_CITATION_v3_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&quot;,&quot;citationItems&quot;:[{&quot;id&quot;:&quot;e2a8625b-225d-3cef-b007-6a0b7d8a7b02&quot;,&quot;itemData&quot;:{&quot;type&quot;:&quot;webpage&quot;,&quot;id&quot;:&quot;e2a8625b-225d-3cef-b007-6a0b7d8a7b02&quot;,&quot;title&quot;:&quot;UN General Assembly, Transforming Our World: The 2030 Agenda for Sustainable Development&quot;,&quot;author&quot;:[{&quot;family&quot;:&quot;SDGS.UN&quot;,&quot;given&quot;:&quot;&quot;,&quot;parse-names&quot;:false,&quot;dropping-particle&quot;:&quot;&quot;,&quot;non-dropping-particle&quot;:&quot;&quot;}],&quot;container-title&quot;:&quot; https://sdgs.un.org&quot;,&quot;issued&quot;:{&quot;date-parts&quot;:[[2015]]},&quot;container-title-short&quot;:&quot;&quot;},&quot;isTemporary&quot;:false,&quot;suppress-author&quot;:false,&quot;composite&quot;:false,&quot;author-only&quot;:false}]},{&quot;citationID&quot;:&quot;MENDELEY_CITATION_38537da5-7ce6-4595-b27c-61515d784df2&quot;,&quot;properties&quot;:{&quot;noteIndex&quot;:0},&quot;isEdited&quot;:false,&quot;manualOverride&quot;:{&quot;isManuallyOverridden&quot;:false,&quot;citeprocText&quot;:&quot;[8]&quot;,&quot;manualOverrideText&quot;:&quot;&quot;},&quot;citationTag&quot;:&quot;MENDELEY_CITATION_v3_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&quot;,&quot;citationItems&quot;:[{&quot;id&quot;:&quot;8068c8dc-6b15-3261-8be5-622b49b16f2f&quot;,&quot;itemData&quot;:{&quot;type&quot;:&quot;report&quot;,&quot;id&quot;:&quot;8068c8dc-6b15-3261-8be5-622b49b16f2f&quot;,&quot;title&quot;:&quot;The sustainability of the informal city: An urban metabolism approach&quot;,&quot;author&quot;:[{&quot;family&quot;:&quot;Guibrunet&quot;,&quot;given&quot;:&quot;Louise&quot;,&quot;parse-names&quot;:false,&quot;dropping-particle&quot;:&quot;&quot;,&quot;non-dropping-particle&quot;:&quot;&quot;},{&quot;family&quot;:&quot;Broto&quot;,&quot;given&quot;:&quot;Vanesa Castán&quot;,&quot;parse-names&quot;:false,&quot;dropping-particle&quot;:&quot;&quot;,&quot;non-dropping-particle&quot;:&quot;&quot;}],&quot;abstract&quot;:&quot;This presentation explores urban sustainability by focusing on the informal city. Cities are responsible for 75% of the global resource consumption and urbanisation is a defining feature of our society. In many world cities urbanisation takes place in the context of informality; as a result infrastructure construction and environmental policies have to understand informal practices and their role in shaping urban sustainability. The informal economy in particular plays a crucial role in managing urban infrastructure and delivering urban services (such as waste management or transport). We propose to analyse the contribution of the informal city to urban sustainability through the lens of urban metabolism (the study of flows of resources and materials through the city). We present an urban metabolism framework that allows for an in-depth analysis of urban informal practices and their contribution to sustainability.&quot;,&quot;container-title-short&quot;:&quot;&quot;},&quot;isTemporary&quot;:false,&quot;suppress-author&quot;:false,&quot;composite&quot;:false,&quot;author-only&quot;:false}]},{&quot;citationID&quot;:&quot;MENDELEY_CITATION_1762f57c-99aa-4d3b-b15d-381aaf666dcd&quot;,&quot;properties&quot;:{&quot;noteIndex&quot;:0},&quot;isEdited&quot;:false,&quot;manualOverride&quot;:{&quot;isManuallyOverridden&quot;:false,&quot;citeprocText&quot;:&quot;[8]&quot;,&quot;manualOverrideText&quot;:&quot;&quot;},&quot;citationTag&quot;:&quot;MENDELEY_CITATION_v3_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&quot;,&quot;citationItems&quot;:[{&quot;id&quot;:&quot;8068c8dc-6b15-3261-8be5-622b49b16f2f&quot;,&quot;itemData&quot;:{&quot;type&quot;:&quot;report&quot;,&quot;id&quot;:&quot;8068c8dc-6b15-3261-8be5-622b49b16f2f&quot;,&quot;title&quot;:&quot;The sustainability of the informal city: An urban metabolism approach&quot;,&quot;author&quot;:[{&quot;family&quot;:&quot;Guibrunet&quot;,&quot;given&quot;:&quot;Louise&quot;,&quot;parse-names&quot;:false,&quot;dropping-particle&quot;:&quot;&quot;,&quot;non-dropping-particle&quot;:&quot;&quot;},{&quot;family&quot;:&quot;Broto&quot;,&quot;given&quot;:&quot;Vanesa Castán&quot;,&quot;parse-names&quot;:false,&quot;dropping-particle&quot;:&quot;&quot;,&quot;non-dropping-particle&quot;:&quot;&quot;}],&quot;abstract&quot;:&quot;This presentation explores urban sustainability by focusing on the informal city. Cities are responsible for 75% of the global resource consumption and urbanisation is a defining feature of our society. In many world cities urbanisation takes place in the context of informality; as a result infrastructure construction and environmental policies have to understand informal practices and their role in shaping urban sustainability. The informal economy in particular plays a crucial role in managing urban infrastructure and delivering urban services (such as waste management or transport). We propose to analyse the contribution of the informal city to urban sustainability through the lens of urban metabolism (the study of flows of resources and materials through the city). We present an urban metabolism framework that allows for an in-depth analysis of urban informal practices and their contribution to sustainability.&quot;,&quot;container-title-short&quot;:&quot;&quot;},&quot;isTemporary&quot;:false,&quot;suppress-author&quot;:false,&quot;composite&quot;:false,&quot;author-only&quot;:false}]},{&quot;citationID&quot;:&quot;MENDELEY_CITATION_13531081-c774-4beb-acda-a23f15ca6bd8&quot;,&quot;properties&quot;:{&quot;noteIndex&quot;:0},&quot;isEdited&quot;:false,&quot;manualOverride&quot;:{&quot;isManuallyOverridden&quot;:false,&quot;citeprocText&quot;:&quot;[9]&quot;,&quot;manualOverrideText&quot;:&quot;&quot;},&quot;citationTag&quot;:&quot;MENDELEY_CITATION_v3_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&quot;,&quot;citationItems&quot;:[{&quot;id&quot;:&quot;9c89de83-7c62-3a14-a543-6930207f0ae1&quot;,&quot;itemData&quot;:{&quot;type&quot;:&quot;article-journal&quot;,&quot;id&quot;:&quot;9c89de83-7c62-3a14-a543-6930207f0ae1&quot;,&quot;title&quot;:&quot;Urban political ecology I: The urban century&quot;,&quot;author&quot;:[{&quot;family&quot;:&quot;Heynen&quot;,&quot;given&quot;:&quot;Nik&quot;,&quot;parse-names&quot;:false,&quot;dropping-particle&quot;:&quot;&quot;,&quot;non-dropping-particle&quot;:&quot;&quot;}],&quot;container-title&quot;:&quot;Progress in Human Geography&quot;,&quot;container-title-short&quot;:&quot;Prog Hum Geogr&quot;,&quot;DOI&quot;:&quot;10.1177/0309132513500443&quot;,&quot;ISSN&quot;:&quot;03091325&quot;,&quot;issued&quot;:{&quot;date-parts&quot;:[[2014]]},&quot;page&quot;:&quot;598-604&quot;,&quot;abstract&quot;:&quot;It has been over 15 years since the term 'urban political ecology' (UPE) was coined. While still often not incorporated into larger discussion of political ecology, its growing visibility in the published literature suggests that it has gone beyond an emerging theoretical lens to one that has fully emerged. This report characterizes the current literature that explicitly utilizes the language of UPE, discusses its theoretical evolution that is now seeing a second wave, as well as catalogs some of the new arenas through which the sub-field has offered novel insights into the socionatural unevenness of cities. A central contribution of this survey is to illustrate the myriad articulations of how urban environmental and social change co-determine each other and how these metabolic processes offer insights into creative pathways toward more democratic urban environmental politics. © The Author(s) 2013.&quot;,&quot;publisher&quot;:&quot;SAGE Publications Ltd&quot;,&quot;issue&quot;:&quot;4&quot;,&quot;volume&quot;:&quot;38&quot;},&quot;isTemporary&quot;:false,&quot;suppress-author&quot;:false,&quot;composite&quot;:false,&quot;author-only&quot;:false}]},{&quot;citationID&quot;:&quot;MENDELEY_CITATION_2a11c676-0bdc-4f3c-9e30-b462f2527026&quot;,&quot;properties&quot;:{&quot;noteIndex&quot;:0},&quot;isEdited&quot;:false,&quot;manualOverride&quot;:{&quot;isManuallyOverridden&quot;:false,&quot;citeprocText&quot;:&quot;[9]&quot;,&quot;manualOverrideText&quot;:&quot;&quot;},&quot;citationTag&quot;:&quot;MENDELEY_CITATION_v3_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&quot;,&quot;citationItems&quot;:[{&quot;id&quot;:&quot;9c89de83-7c62-3a14-a543-6930207f0ae1&quot;,&quot;itemData&quot;:{&quot;type&quot;:&quot;article-journal&quot;,&quot;id&quot;:&quot;9c89de83-7c62-3a14-a543-6930207f0ae1&quot;,&quot;title&quot;:&quot;Urban political ecology I: The urban century&quot;,&quot;author&quot;:[{&quot;family&quot;:&quot;Heynen&quot;,&quot;given&quot;:&quot;Nik&quot;,&quot;parse-names&quot;:false,&quot;dropping-particle&quot;:&quot;&quot;,&quot;non-dropping-particle&quot;:&quot;&quot;}],&quot;container-title&quot;:&quot;Progress in Human Geography&quot;,&quot;container-title-short&quot;:&quot;Prog Hum Geogr&quot;,&quot;DOI&quot;:&quot;10.1177/0309132513500443&quot;,&quot;ISSN&quot;:&quot;03091325&quot;,&quot;issued&quot;:{&quot;date-parts&quot;:[[2014]]},&quot;page&quot;:&quot;598-604&quot;,&quot;abstract&quot;:&quot;It has been over 15 years since the term 'urban political ecology' (UPE) was coined. While still often not incorporated into larger discussion of political ecology, its growing visibility in the published literature suggests that it has gone beyond an emerging theoretical lens to one that has fully emerged. This report characterizes the current literature that explicitly utilizes the language of UPE, discusses its theoretical evolution that is now seeing a second wave, as well as catalogs some of the new arenas through which the sub-field has offered novel insights into the socionatural unevenness of cities. A central contribution of this survey is to illustrate the myriad articulations of how urban environmental and social change co-determine each other and how these metabolic processes offer insights into creative pathways toward more democratic urban environmental politics. © The Author(s) 2013.&quot;,&quot;publisher&quot;:&quot;SAGE Publications Ltd&quot;,&quot;issue&quot;:&quot;4&quot;,&quot;volume&quot;:&quot;38&quot;},&quot;isTemporary&quot;:false,&quot;suppress-author&quot;:false,&quot;composite&quot;:false,&quot;author-only&quot;:false}]},{&quot;citationID&quot;:&quot;MENDELEY_CITATION_ef0995c4-56b5-417f-8e74-af1a6d8d3ec8&quot;,&quot;properties&quot;:{&quot;noteIndex&quot;:0},&quot;isEdited&quot;:false,&quot;manualOverride&quot;:{&quot;isManuallyOverridden&quot;:false,&quot;citeprocText&quot;:&quot;[10]&quot;,&quot;manualOverrideText&quot;:&quot;&quot;},&quot;citationTag&quot;:&quot;MENDELEY_CITATION_v3_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&quot;,&quot;citationItems&quot;:[{&quot;id&quot;:&quot;c0f10c96-602c-33db-a09e-053a4bc6bf8c&quot;,&quot;itemData&quot;:{&quot;type&quot;:&quot;article-journal&quot;,&quot;id&quot;:&quot;c0f10c96-602c-33db-a09e-053a4bc6bf8c&quot;,&quot;title&quot;:&quot;A geography of marine plastics&quot;,&quot;author&quot;:[{&quot;family&quot;:&quot;Black&quot;,&quot;given&quot;:&quot;Jeffrey E.&quot;,&quot;parse-names&quot;:false,&quot;dropping-particle&quot;:&quot;&quot;,&quot;non-dropping-particle&quot;:&quot;&quot;},{&quot;family&quot;:&quot;Holmes&quot;,&quot;given&quot;:&quot;Dakota E.&quot;,&quot;parse-names&quot;:false,&quot;dropping-particle&quot;:&quot;&quot;,&quot;non-dropping-particle&quot;:&quot;&quot;},{&quot;family&quot;:&quot;Carr&quot;,&quot;given&quot;:&quot;Liam M.&quot;,&quot;parse-names&quot;:false,&quot;dropping-particle&quot;:&quot;&quot;,&quot;non-dropping-particle&quot;:&quot;&quot;}],&quot;container-title&quot;:&quot;Irish Geography&quot;,&quot;DOI&quot;:&quot;10.2014/igj.v53i1.1411&quot;,&quot;ISSN&quot;:&quot;00750778&quot;,&quot;issued&quot;:{&quot;date-parts&quot;:[[2020,5,1]]},&quot;page&quot;:&quot;59-92&quot;,&quot;abstract&quot;:&quot;Marine plastics have gained infamy as one of the most pressing environmental issues of our time. Their lightweight and durable properties, and low cost of production have made them an attractive material for packaging and shipping. This production-side preference for cheap plastic products and packaging, coupled with consumption preferences for pre-packaged, single-use goods that ultimately overwhelm increasingly costly waste management efforts, has resulted in a persistent, ubiquitous presence of plastic materials globally. Grounded in an extensive review of the literature, this paper reviews the geography of marine plastics research, and the pervasive and persistent effects of plastic on the marine system to aid the discussions of comprehensive mitigation measures. The discussion points raised in this paper highlight the need for a global systems perspective that considers geography, environmental impacts, and sources in order to develop effective mitigation responses to marine litter.&quot;,&quot;publisher&quot;:&quot;Geographical Society of Ireland&quot;,&quot;issue&quot;:&quot;1&quot;,&quot;volume&quot;:&quot;53&quot;,&quot;container-title-short&quot;:&quot;&quot;},&quot;isTemporary&quot;:false,&quot;suppress-author&quot;:false,&quot;composite&quot;:false,&quot;author-only&quot;:false}]},{&quot;citationID&quot;:&quot;MENDELEY_CITATION_7185d3ad-f9b6-49a5-a06d-ae8e6eb51ddd&quot;,&quot;properties&quot;:{&quot;noteIndex&quot;:0},&quot;isEdited&quot;:false,&quot;manualOverride&quot;:{&quot;isManuallyOverridden&quot;:false,&quot;citeprocText&quot;:&quot;[9]&quot;,&quot;manualOverrideText&quot;:&quot;&quot;},&quot;citationTag&quot;:&quot;MENDELEY_CITATION_v3_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&quot;,&quot;citationItems&quot;:[{&quot;id&quot;:&quot;9c89de83-7c62-3a14-a543-6930207f0ae1&quot;,&quot;itemData&quot;:{&quot;type&quot;:&quot;article-journal&quot;,&quot;id&quot;:&quot;9c89de83-7c62-3a14-a543-6930207f0ae1&quot;,&quot;title&quot;:&quot;Urban political ecology I: The urban century&quot;,&quot;author&quot;:[{&quot;family&quot;:&quot;Heynen&quot;,&quot;given&quot;:&quot;Nik&quot;,&quot;parse-names&quot;:false,&quot;dropping-particle&quot;:&quot;&quot;,&quot;non-dropping-particle&quot;:&quot;&quot;}],&quot;container-title&quot;:&quot;Progress in Human Geography&quot;,&quot;container-title-short&quot;:&quot;Prog Hum Geogr&quot;,&quot;DOI&quot;:&quot;10.1177/0309132513500443&quot;,&quot;ISSN&quot;:&quot;03091325&quot;,&quot;issued&quot;:{&quot;date-parts&quot;:[[2014]]},&quot;page&quot;:&quot;598-604&quot;,&quot;abstract&quot;:&quot;It has been over 15 years since the term 'urban political ecology' (UPE) was coined. While still often not incorporated into larger discussion of political ecology, its growing visibility in the published literature suggests that it has gone beyond an emerging theoretical lens to one that has fully emerged. This report characterizes the current literature that explicitly utilizes the language of UPE, discusses its theoretical evolution that is now seeing a second wave, as well as catalogs some of the new arenas through which the sub-field has offered novel insights into the socionatural unevenness of cities. A central contribution of this survey is to illustrate the myriad articulations of how urban environmental and social change co-determine each other and how these metabolic processes offer insights into creative pathways toward more democratic urban environmental politics. © The Author(s) 2013.&quot;,&quot;publisher&quot;:&quot;SAGE Publications Ltd&quot;,&quot;issue&quot;:&quot;4&quot;,&quot;volume&quot;:&quot;38&quot;},&quot;isTemporary&quot;:false,&quot;suppress-author&quot;:false,&quot;composite&quot;:false,&quot;author-only&quot;:false}]},{&quot;citationID&quot;:&quot;MENDELEY_CITATION_fa1c4f4a-2998-4144-9da1-04c8fa0e16e5&quot;,&quot;properties&quot;:{&quot;noteIndex&quot;:0},&quot;isEdited&quot;:false,&quot;manualOverride&quot;:{&quot;isManuallyOverridden&quot;:false,&quot;citeprocText&quot;:&quot;[11]&quot;,&quot;manualOverrideText&quot;:&quot;&quot;},&quot;citationTag&quot;:&quot;MENDELEY_CITATION_v3_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&quot;,&quot;citationItems&quot;:[{&quot;id&quot;:&quot;26aa9c7e-6a0e-3f5d-b169-cff56881485f&quot;,&quot;itemData&quot;:{&quot;type&quot;:&quot;webpage&quot;,&quot;id&quot;:&quot;26aa9c7e-6a0e-3f5d-b169-cff56881485f&quot;,&quot;title&quot;:&quot;Imbas Penutupan TPA Piyungan, Kota Yogyakarta Darurat Sampah, Bau Tak Sedap Mulai Mengganggu Warga&quot;,&quot;author&quot;:[{&quot;family&quot;:&quot;Wisang Seto Pangaribowo&quot;,&quot;given&quot;:&quot;&quot;,&quot;parse-names&quot;:false,&quot;dropping-particle&quot;:&quot;&quot;,&quot;non-dropping-particle&quot;:&quot;&quot;},{&quot;family&quot;:&quot;Dita Angga Rusiana&quot;,&quot;given&quot;:&quot;&quot;,&quot;parse-names&quot;:false,&quot;dropping-particle&quot;:&quot;&quot;,&quot;non-dropping-particle&quot;:&quot;&quot;}],&quot;container-title&quot;:&quot;https://yogyakarta.kompas.com/read/2023/07/25/080758578/imbas-penutupan-tpa-piyungan-kota-yogyakarta-darurat-sampah-bau-tak-sedap&quot;,&quot;issued&quot;:{&quot;date-parts&quot;:[[2023,7,23]]},&quot;container-title-short&quot;:&quot;&quot;},&quot;isTemporary&quot;:false,&quot;suppress-author&quot;:false,&quot;composite&quot;:false,&quot;author-only&quot;:false}]},{&quot;citationID&quot;:&quot;MENDELEY_CITATION_95f23359-1dab-464c-b801-74701671fdcb&quot;,&quot;properties&quot;:{&quot;noteIndex&quot;:0},&quot;isEdited&quot;:false,&quot;manualOverride&quot;:{&quot;isManuallyOverridden&quot;:false,&quot;citeprocText&quot;:&quot;[11]&quot;,&quot;manualOverrideText&quot;:&quot;&quot;},&quot;citationTag&quot;:&quot;MENDELEY_CITATION_v3_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&quot;,&quot;citationItems&quot;:[{&quot;id&quot;:&quot;26aa9c7e-6a0e-3f5d-b169-cff56881485f&quot;,&quot;itemData&quot;:{&quot;type&quot;:&quot;webpage&quot;,&quot;id&quot;:&quot;26aa9c7e-6a0e-3f5d-b169-cff56881485f&quot;,&quot;title&quot;:&quot;Imbas Penutupan TPA Piyungan, Kota Yogyakarta Darurat Sampah, Bau Tak Sedap Mulai Mengganggu Warga&quot;,&quot;author&quot;:[{&quot;family&quot;:&quot;Wisang Seto Pangaribowo&quot;,&quot;given&quot;:&quot;&quot;,&quot;parse-names&quot;:false,&quot;dropping-particle&quot;:&quot;&quot;,&quot;non-dropping-particle&quot;:&quot;&quot;},{&quot;family&quot;:&quot;Dita Angga Rusiana&quot;,&quot;given&quot;:&quot;&quot;,&quot;parse-names&quot;:false,&quot;dropping-particle&quot;:&quot;&quot;,&quot;non-dropping-particle&quot;:&quot;&quot;}],&quot;container-title&quot;:&quot;https://yogyakarta.kompas.com/read/2023/07/25/080758578/imbas-penutupan-tpa-piyungan-kota-yogyakarta-darurat-sampah-bau-tak-sedap&quot;,&quot;issued&quot;:{&quot;date-parts&quot;:[[2023,7,23]]},&quot;container-title-short&quot;:&quot;&quot;},&quot;isTemporary&quot;:false,&quot;suppress-author&quot;:false,&quot;composite&quot;:false,&quot;author-only&quot;:false}]},{&quot;citationID&quot;:&quot;MENDELEY_CITATION_94fe362e-f31c-40b2-8719-a81e61272992&quot;,&quot;properties&quot;:{&quot;noteIndex&quot;:0},&quot;isEdited&quot;:false,&quot;manualOverride&quot;:{&quot;isManuallyOverridden&quot;:false,&quot;citeprocText&quot;:&quot;[12]&quot;,&quot;manualOverrideText&quot;:&quot;&quot;},&quot;citationTag&quot;:&quot;MENDELEY_CITATION_v3_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&quot;,&quot;citationItems&quot;:[{&quot;id&quot;:&quot;d5db9a5b-0c91-355a-b0f4-53c9e68f0eda&quot;,&quot;itemData&quot;:{&quot;type&quot;:&quot;report&quot;,&quot;id&quot;:&quot;d5db9a5b-0c91-355a-b0f4-53c9e68f0eda&quot;,&quot;title&quot;:&quot;DINAMIKA PERAN TPA PIYUNGAN DALAM KONSERVASI SUMBER DAYA ALAM DI WILAYAH SEKITAR&quot;,&quot;author&quot;:[{&quot;family&quot;:&quot;Anggraini&quot;,&quot;given&quot;:&quot;Dina&quot;,&quot;parse-names&quot;:false,&quot;dropping-particle&quot;:&quot;&quot;,&quot;non-dropping-particle&quot;:&quot;&quot;},{&quot;family&quot;:&quot;Setyani&quot;,&quot;given&quot;:&quot;Amellia&quot;,&quot;parse-names&quot;:false,&quot;dropping-particle&quot;:&quot;&quot;,&quot;non-dropping-particle&quot;:&quot;&quot;},{&quot;family&quot;:&quot;Hurun Azahria&quot;,&quot;given&quot;:&quot;Asa&quot;,&quot;parse-names&quot;:false,&quot;dropping-particle&quot;:&quot;&quot;,&quot;non-dropping-particle&quot;:&quot;&quot;},{&quot;family&quot;:&quot;Gistha Rosardi&quot;,&quot;given&quot;:&quot;Raras&quot;,&quot;parse-names&quot;:false,&quot;dropping-particle&quot;:&quot;&quot;,&quot;non-dropping-particle&quot;:&quot;&quot;},{&quot;family&quot;:&quot;Septiantoko&quot;,&quot;given&quot;:&quot;Riko&quot;,&quot;parse-names&quot;:false,&quot;dropping-particle&quot;:&quot;&quot;,&quot;non-dropping-particle&quot;:&quot;&quot;}],&quot;URL&quot;:&quot;https://conserva.unmuhbabel.ac.id/index.php&quot;,&quot;issued&quot;:{&quot;date-parts&quot;:[[2024]]},&quot;number-of-pages&quot;:&quot;89-97&quot;,&quot;issue&quot;:&quot;02&quot;,&quot;volume&quot;:&quot;02&quot;,&quot;container-title-short&quot;:&quot;&quot;},&quot;isTemporary&quot;:false,&quot;suppress-author&quot;:false,&quot;composite&quot;:false,&quot;author-only&quot;:false}]},{&quot;citationID&quot;:&quot;MENDELEY_CITATION_6af0d573-824a-4c0d-9f7d-5cba0c77f3d1&quot;,&quot;properties&quot;:{&quot;noteIndex&quot;:0},&quot;isEdited&quot;:false,&quot;manualOverride&quot;:{&quot;isManuallyOverridden&quot;:false,&quot;citeprocText&quot;:&quot;[12]&quot;,&quot;manualOverrideText&quot;:&quot;&quot;},&quot;citationTag&quot;:&quot;MENDELEY_CITATION_v3_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&quot;,&quot;citationItems&quot;:[{&quot;id&quot;:&quot;d5db9a5b-0c91-355a-b0f4-53c9e68f0eda&quot;,&quot;itemData&quot;:{&quot;type&quot;:&quot;report&quot;,&quot;id&quot;:&quot;d5db9a5b-0c91-355a-b0f4-53c9e68f0eda&quot;,&quot;title&quot;:&quot;DINAMIKA PERAN TPA PIYUNGAN DALAM KONSERVASI SUMBER DAYA ALAM DI WILAYAH SEKITAR&quot;,&quot;author&quot;:[{&quot;family&quot;:&quot;Anggraini&quot;,&quot;given&quot;:&quot;Dina&quot;,&quot;parse-names&quot;:false,&quot;dropping-particle&quot;:&quot;&quot;,&quot;non-dropping-particle&quot;:&quot;&quot;},{&quot;family&quot;:&quot;Setyani&quot;,&quot;given&quot;:&quot;Amellia&quot;,&quot;parse-names&quot;:false,&quot;dropping-particle&quot;:&quot;&quot;,&quot;non-dropping-particle&quot;:&quot;&quot;},{&quot;family&quot;:&quot;Hurun Azahria&quot;,&quot;given&quot;:&quot;Asa&quot;,&quot;parse-names&quot;:false,&quot;dropping-particle&quot;:&quot;&quot;,&quot;non-dropping-particle&quot;:&quot;&quot;},{&quot;family&quot;:&quot;Gistha Rosardi&quot;,&quot;given&quot;:&quot;Raras&quot;,&quot;parse-names&quot;:false,&quot;dropping-particle&quot;:&quot;&quot;,&quot;non-dropping-particle&quot;:&quot;&quot;},{&quot;family&quot;:&quot;Septiantoko&quot;,&quot;given&quot;:&quot;Riko&quot;,&quot;parse-names&quot;:false,&quot;dropping-particle&quot;:&quot;&quot;,&quot;non-dropping-particle&quot;:&quot;&quot;}],&quot;URL&quot;:&quot;https://conserva.unmuhbabel.ac.id/index.php&quot;,&quot;issued&quot;:{&quot;date-parts&quot;:[[2024]]},&quot;number-of-pages&quot;:&quot;89-97&quot;,&quot;issue&quot;:&quot;02&quot;,&quot;volume&quot;:&quot;02&quot;,&quot;container-title-short&quot;:&quot;&quot;},&quot;isTemporary&quot;:false,&quot;suppress-author&quot;:false,&quot;composite&quot;:false,&quot;author-only&quot;:false}]},{&quot;citationID&quot;:&quot;MENDELEY_CITATION_e9aeba86-e457-4d2c-806d-54fa481a5ee2&quot;,&quot;properties&quot;:{&quot;noteIndex&quot;:0},&quot;isEdited&quot;:false,&quot;manualOverride&quot;:{&quot;isManuallyOverridden&quot;:false,&quot;citeprocText&quot;:&quot;[13]&quot;,&quot;manualOverrideText&quot;:&quot;&quot;},&quot;citationTag&quot;:&quot;MENDELEY_CITATION_v3_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&quot;,&quot;citationItems&quot;:[{&quot;id&quot;:&quot;4f6b3b6b-eb8c-3578-9d34-636aaccb0c0d&quot;,&quot;itemData&quot;:{&quot;type&quot;:&quot;article-journal&quot;,&quot;id&quot;:&quot;4f6b3b6b-eb8c-3578-9d34-636aaccb0c0d&quot;,&quot;title&quot;:&quot;Penguatan Kewarganegaraan Ekologis Untuk Mewujudkan Ketahanan Lingkungan (Studi di Kampung Gambiran, Kelurahan Pandeyan, Kecamatan Umbulharjo, Kota Yogyakarta, Daerah Istimewa Yogyakarta)&quot;,&quot;author&quot;:[{&quot;family&quot;:&quot;Sari&quot;,&quot;given&quot;:&quot;Serlina Candra Wardina&quot;,&quot;parse-names&quot;:false,&quot;dropping-particle&quot;:&quot;&quot;,&quot;non-dropping-particle&quot;:&quot;&quot;},{&quot;family&quot;:&quot;Samsuri&quot;,&quot;given&quot;:&quot;Samsuri&quot;,&quot;parse-names&quot;:false,&quot;dropping-particle&quot;:&quot;&quot;,&quot;non-dropping-particle&quot;:&quot;&quot;},{&quot;family&quot;:&quot;Wahidin&quot;,&quot;given&quot;:&quot;Darto&quot;,&quot;parse-names&quot;:false,&quot;dropping-particle&quot;:&quot;&quot;,&quot;non-dropping-particle&quot;:&quot;&quot;}],&quot;container-title&quot;:&quot;Jurnal Ketahanan Nasional&quot;,&quot;DOI&quot;:&quot;10.22146/jkn.53816&quot;,&quot;ISSN&quot;:&quot;0853-9340&quot;,&quot;issued&quot;:{&quot;date-parts&quot;:[[2020,5,15]]},&quot;page&quot;:&quot;40&quot;,&quot;abstract&quot;:&quot;ABSTRACT The idea of ecological citizenship is present and has important implications on the conception of citizenship in the field of environmental preservation. The purpose of this study is to analyze the strengthening of ecological citizenship to realize environmental resilience through environmental awareness programs in Gambiran village as the Green Village of Yogyakarta City. This research uses a qualitative approach with a case study design. Data collection uses observation, interview, and documentation techniques. Data analysis uses interactive analysis techniques consisting of data reduction, data presentation, and data verification. The results showed that strengthening ecological citizenship to realize environmental resilience consisted of: management of the Gajah Wong river, tree planting, independent waste management, IPAL communal, green space, krida parks and cross-cultural parks, libraries and wi-fi parks, and the use of alternative energy. The results of ecological citizenship as a form of environmental resilience have a positive impact on several fields: environmental, social, and economic. Challenges and obstacles in the development of the Green Village of Yogyakarta City lies in the community's concern that sometimes fluctuates and the role of youth is still lacking so that it inhibits the regeneration process. Synergy between the community and the government must be open and interactive in realizing environmental resilience in Gambiran village.ABSTRAK Gagasan kewarganegaraan ekologis hadir dan membawa implikasi penting pada konsepsi kewarganegaraan dalam bidang pelestarian lingkungan. Tujuan penelitian ini adalah menganalisis penguatan kewarganegaraan ekologis untuk mewujudkan ketahanan lingkungan melalui program-program kepedulian lingkungan di Kampung Gambiran sebagai Kampung Hijau Kota Yogyakarta.Penelitian ini menggunakan pendekatan kualitatif dengan desain studi kasus. Pengumpulan data menggunakan teknik observasi, wawancara, dan dokumentasi. Analisis data menggunakan teknik analisis interaktif yang terdiri dari reduksi data, penyajian data, dan verifikasi data.Hasil penelitian menunjukkan bahwa penguatan kewarganegaraan ekologis untuk mewujudkan ketahanan lingkungan terdiri dari: pengelolaan sungai Gajah Wong, tanam pohon, pengelolaan sampah mandiri, IPAL komunal, RTH, taman krida dan taman lintas budaya, perpustakaan dan taman wifi, serta penggunaan energi alternatif. Hasil dari kewarganegaraan ekologis sebagai wujud ketahanan lingkungan membawa dampak positif pada beberapa bidang, yakni: lingkungan, sosial, dan ekonomi. Tantangan dan hambatan dalam pengembangan Kampung Hijau Kota Yogyakarta terletak pada kepedulian masyarakat yang terkadang naik turun dan peran pemuda yang masih kurang sehingga menghambat proses regenerasi. Sinergi antara masyarakat dan pemerintah harus secara terbuka dan interaktif dalam mewujudkan ketahanan lingkungan di Kampung Gambiran. &quot;,&quot;publisher&quot;:&quot;Universitas Gadjah Mada&quot;,&quot;issue&quot;:&quot;1&quot;,&quot;volume&quot;:&quot;26&quot;,&quot;container-title-short&quot;:&quot;&quot;},&quot;isTemporary&quot;:false,&quot;suppress-author&quot;:false,&quot;composite&quot;:false,&quot;author-only&quot;:false}]},{&quot;citationID&quot;:&quot;MENDELEY_CITATION_7fe8eb2f-834b-47f1-91da-780592fead7a&quot;,&quot;properties&quot;:{&quot;noteIndex&quot;:0},&quot;isEdited&quot;:false,&quot;manualOverride&quot;:{&quot;isManuallyOverridden&quot;:false,&quot;citeprocText&quot;:&quot;[14]&quot;,&quot;manualOverrideText&quot;:&quot;&quot;},&quot;citationTag&quot;:&quot;MENDELEY_CITATION_v3_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&quot;,&quot;citationItems&quot;:[{&quot;id&quot;:&quot;8daaf9d3-00ca-3008-a46b-fac92bb3f59e&quot;,&quot;itemData&quot;:{&quot;type&quot;:&quot;article-journal&quot;,&quot;id&quot;:&quot;8daaf9d3-00ca-3008-a46b-fac92bb3f59e&quot;,&quot;title&quot;:&quot;Ketahanan Air dan Kearifan Lokal: Studi Kasus Pengelolaan Sumber Daya Air Berbasis Komunitas Adat di Merauke&quot;,&quot;author&quot;:[{&quot;family&quot;:&quot;Pakidi&quot;,&quot;given&quot;:&quot;Chalvyn Silasa&quot;,&quot;parse-names&quot;:false,&quot;dropping-particle&quot;:&quot;&quot;,&quot;non-dropping-particle&quot;:&quot;&quot;},{&quot;family&quot;:&quot;Tambaip&quot;,&quot;given&quot;:&quot;Beatus&quot;,&quot;parse-names&quot;:false,&quot;dropping-particle&quot;:&quot;&quot;,&quot;non-dropping-particle&quot;:&quot;&quot;}],&quot;container-title&quot;:&quot;Jejak digital: Jurnal Ilmiah Multidisiplin&quot;,&quot;DOI&quot;:&quot;10.63822/q8m27758&quot;,&quot;ISSN&quot;:&quot;3089-7734&quot;,&quot;URL&quot;:&quot;http://indojurnal.com/index.php/jejakdigital/article/view/193&quot;,&quot;issued&quot;:{&quot;date-parts&quot;:[[2025,5,31]]},&quot;page&quot;:&quot;660-676&quot;,&quot;abstract&quot;:&quot;&lt;p&gt;Ketahanan air menjadi tantangan global yang semakin kompleks akibat perubahan iklim dan pertumbuhan populasi. Studi ini mengkaji peran kearifan lokal dalam pengelolaan sumber daya air oleh komunitas adat di Merauke, Papua Selatan. Menggunakan metode studi kasus kualitatif dengan wawancara mendalam, observasi partisipatif, dan analisis dokumen, penelitian ini menemukan bahwa praktik adat seperti ritual, zonasi wilayah, dan norma sosial secara efektif menjaga kelestarian sumber air. Struktur sosial komunitas, khususnya peran tokoh adat dan perempuan, berperan penting dalam menjaga tata kelola dan regenerasi pengetahuan. Namun, integrasi antara sistem adat dan kebijakan formal sering mengalami hambatan akibat pendekatan teknokratis yang dominan. Oleh karena itu, pengakuan hukum terhadap kearifan lokal dan kolaborasi antara pemerintah dan komunitas adat menjadi kunci untuk meningkatkan ketahanan air secara inklusif dan berkelanjutan. Temuan ini memberikan kontribusi penting bagi pengembangan model pengelolaan air yang adaptif dan kontekstual di wilayah dengan keberagaman sosial budaya.&lt;/p&gt;&quot;,&quot;issue&quot;:&quot;3&quot;,&quot;volume&quot;:&quot;1&quot;,&quot;container-title-short&quot;:&quot;&quot;},&quot;isTemporary&quot;:false,&quot;suppress-author&quot;:false,&quot;composite&quot;:false,&quot;author-only&quot;:false}]},{&quot;citationID&quot;:&quot;MENDELEY_CITATION_5015b0a0-e8be-4857-8afc-18a50808cdb9&quot;,&quot;properties&quot;:{&quot;noteIndex&quot;:0},&quot;isEdited&quot;:false,&quot;manualOverride&quot;:{&quot;isManuallyOverridden&quot;:false,&quot;citeprocText&quot;:&quot;[13]&quot;,&quot;manualOverrideText&quot;:&quot;&quot;},&quot;citationTag&quot;:&quot;MENDELEY_CITATION_v3_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&quot;,&quot;citationItems&quot;:[{&quot;id&quot;:&quot;4f6b3b6b-eb8c-3578-9d34-636aaccb0c0d&quot;,&quot;itemData&quot;:{&quot;type&quot;:&quot;article-journal&quot;,&quot;id&quot;:&quot;4f6b3b6b-eb8c-3578-9d34-636aaccb0c0d&quot;,&quot;title&quot;:&quot;Penguatan Kewarganegaraan Ekologis Untuk Mewujudkan Ketahanan Lingkungan (Studi di Kampung Gambiran, Kelurahan Pandeyan, Kecamatan Umbulharjo, Kota Yogyakarta, Daerah Istimewa Yogyakarta)&quot;,&quot;author&quot;:[{&quot;family&quot;:&quot;Sari&quot;,&quot;given&quot;:&quot;Serlina Candra Wardina&quot;,&quot;parse-names&quot;:false,&quot;dropping-particle&quot;:&quot;&quot;,&quot;non-dropping-particle&quot;:&quot;&quot;},{&quot;family&quot;:&quot;Samsuri&quot;,&quot;given&quot;:&quot;Samsuri&quot;,&quot;parse-names&quot;:false,&quot;dropping-particle&quot;:&quot;&quot;,&quot;non-dropping-particle&quot;:&quot;&quot;},{&quot;family&quot;:&quot;Wahidin&quot;,&quot;given&quot;:&quot;Darto&quot;,&quot;parse-names&quot;:false,&quot;dropping-particle&quot;:&quot;&quot;,&quot;non-dropping-particle&quot;:&quot;&quot;}],&quot;container-title&quot;:&quot;Jurnal Ketahanan Nasional&quot;,&quot;DOI&quot;:&quot;10.22146/jkn.53816&quot;,&quot;ISSN&quot;:&quot;0853-9340&quot;,&quot;issued&quot;:{&quot;date-parts&quot;:[[2020,5,15]]},&quot;page&quot;:&quot;40&quot;,&quot;abstract&quot;:&quot;ABSTRACT The idea of ecological citizenship is present and has important implications on the conception of citizenship in the field of environmental preservation. The purpose of this study is to analyze the strengthening of ecological citizenship to realize environmental resilience through environmental awareness programs in Gambiran village as the Green Village of Yogyakarta City. This research uses a qualitative approach with a case study design. Data collection uses observation, interview, and documentation techniques. Data analysis uses interactive analysis techniques consisting of data reduction, data presentation, and data verification. The results showed that strengthening ecological citizenship to realize environmental resilience consisted of: management of the Gajah Wong river, tree planting, independent waste management, IPAL communal, green space, krida parks and cross-cultural parks, libraries and wi-fi parks, and the use of alternative energy. The results of ecological citizenship as a form of environmental resilience have a positive impact on several fields: environmental, social, and economic. Challenges and obstacles in the development of the Green Village of Yogyakarta City lies in the community's concern that sometimes fluctuates and the role of youth is still lacking so that it inhibits the regeneration process. Synergy between the community and the government must be open and interactive in realizing environmental resilience in Gambiran village.ABSTRAK Gagasan kewarganegaraan ekologis hadir dan membawa implikasi penting pada konsepsi kewarganegaraan dalam bidang pelestarian lingkungan. Tujuan penelitian ini adalah menganalisis penguatan kewarganegaraan ekologis untuk mewujudkan ketahanan lingkungan melalui program-program kepedulian lingkungan di Kampung Gambiran sebagai Kampung Hijau Kota Yogyakarta.Penelitian ini menggunakan pendekatan kualitatif dengan desain studi kasus. Pengumpulan data menggunakan teknik observasi, wawancara, dan dokumentasi. Analisis data menggunakan teknik analisis interaktif yang terdiri dari reduksi data, penyajian data, dan verifikasi data.Hasil penelitian menunjukkan bahwa penguatan kewarganegaraan ekologis untuk mewujudkan ketahanan lingkungan terdiri dari: pengelolaan sungai Gajah Wong, tanam pohon, pengelolaan sampah mandiri, IPAL komunal, RTH, taman krida dan taman lintas budaya, perpustakaan dan taman wifi, serta penggunaan energi alternatif. Hasil dari kewarganegaraan ekologis sebagai wujud ketahanan lingkungan membawa dampak positif pada beberapa bidang, yakni: lingkungan, sosial, dan ekonomi. Tantangan dan hambatan dalam pengembangan Kampung Hijau Kota Yogyakarta terletak pada kepedulian masyarakat yang terkadang naik turun dan peran pemuda yang masih kurang sehingga menghambat proses regenerasi. Sinergi antara masyarakat dan pemerintah harus secara terbuka dan interaktif dalam mewujudkan ketahanan lingkungan di Kampung Gambiran. &quot;,&quot;publisher&quot;:&quot;Universitas Gadjah Mada&quot;,&quot;issue&quot;:&quot;1&quot;,&quot;volume&quot;:&quot;26&quot;,&quot;container-title-short&quot;:&quot;&quot;},&quot;isTemporary&quot;:false,&quot;suppress-author&quot;:false,&quot;composite&quot;:false,&quot;author-only&quot;:false}]},{&quot;citationID&quot;:&quot;MENDELEY_CITATION_eaa722d1-e4c4-48ee-9837-ffef3b49e695&quot;,&quot;properties&quot;:{&quot;noteIndex&quot;:0},&quot;isEdited&quot;:false,&quot;manualOverride&quot;:{&quot;isManuallyOverridden&quot;:false,&quot;citeprocText&quot;:&quot;[13]&quot;,&quot;manualOverrideText&quot;:&quot;&quot;},&quot;citationTag&quot;:&quot;MENDELEY_CITATION_v3_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&quot;,&quot;citationItems&quot;:[{&quot;id&quot;:&quot;4f6b3b6b-eb8c-3578-9d34-636aaccb0c0d&quot;,&quot;itemData&quot;:{&quot;type&quot;:&quot;article-journal&quot;,&quot;id&quot;:&quot;4f6b3b6b-eb8c-3578-9d34-636aaccb0c0d&quot;,&quot;title&quot;:&quot;Penguatan Kewarganegaraan Ekologis Untuk Mewujudkan Ketahanan Lingkungan (Studi di Kampung Gambiran, Kelurahan Pandeyan, Kecamatan Umbulharjo, Kota Yogyakarta, Daerah Istimewa Yogyakarta)&quot;,&quot;author&quot;:[{&quot;family&quot;:&quot;Sari&quot;,&quot;given&quot;:&quot;Serlina Candra Wardina&quot;,&quot;parse-names&quot;:false,&quot;dropping-particle&quot;:&quot;&quot;,&quot;non-dropping-particle&quot;:&quot;&quot;},{&quot;family&quot;:&quot;Samsuri&quot;,&quot;given&quot;:&quot;Samsuri&quot;,&quot;parse-names&quot;:false,&quot;dropping-particle&quot;:&quot;&quot;,&quot;non-dropping-particle&quot;:&quot;&quot;},{&quot;family&quot;:&quot;Wahidin&quot;,&quot;given&quot;:&quot;Darto&quot;,&quot;parse-names&quot;:false,&quot;dropping-particle&quot;:&quot;&quot;,&quot;non-dropping-particle&quot;:&quot;&quot;}],&quot;container-title&quot;:&quot;Jurnal Ketahanan Nasional&quot;,&quot;DOI&quot;:&quot;10.22146/jkn.53816&quot;,&quot;ISSN&quot;:&quot;0853-9340&quot;,&quot;issued&quot;:{&quot;date-parts&quot;:[[2020,5,15]]},&quot;page&quot;:&quot;40&quot;,&quot;abstract&quot;:&quot;ABSTRACT The idea of ecological citizenship is present and has important implications on the conception of citizenship in the field of environmental preservation. The purpose of this study is to analyze the strengthening of ecological citizenship to realize environmental resilience through environmental awareness programs in Gambiran village as the Green Village of Yogyakarta City. This research uses a qualitative approach with a case study design. Data collection uses observation, interview, and documentation techniques. Data analysis uses interactive analysis techniques consisting of data reduction, data presentation, and data verification. The results showed that strengthening ecological citizenship to realize environmental resilience consisted of: management of the Gajah Wong river, tree planting, independent waste management, IPAL communal, green space, krida parks and cross-cultural parks, libraries and wi-fi parks, and the use of alternative energy. The results of ecological citizenship as a form of environmental resilience have a positive impact on several fields: environmental, social, and economic. Challenges and obstacles in the development of the Green Village of Yogyakarta City lies in the community's concern that sometimes fluctuates and the role of youth is still lacking so that it inhibits the regeneration process. Synergy between the community and the government must be open and interactive in realizing environmental resilience in Gambiran village.ABSTRAK Gagasan kewarganegaraan ekologis hadir dan membawa implikasi penting pada konsepsi kewarganegaraan dalam bidang pelestarian lingkungan. Tujuan penelitian ini adalah menganalisis penguatan kewarganegaraan ekologis untuk mewujudkan ketahanan lingkungan melalui program-program kepedulian lingkungan di Kampung Gambiran sebagai Kampung Hijau Kota Yogyakarta.Penelitian ini menggunakan pendekatan kualitatif dengan desain studi kasus. Pengumpulan data menggunakan teknik observasi, wawancara, dan dokumentasi. Analisis data menggunakan teknik analisis interaktif yang terdiri dari reduksi data, penyajian data, dan verifikasi data.Hasil penelitian menunjukkan bahwa penguatan kewarganegaraan ekologis untuk mewujudkan ketahanan lingkungan terdiri dari: pengelolaan sungai Gajah Wong, tanam pohon, pengelolaan sampah mandiri, IPAL komunal, RTH, taman krida dan taman lintas budaya, perpustakaan dan taman wifi, serta penggunaan energi alternatif. Hasil dari kewarganegaraan ekologis sebagai wujud ketahanan lingkungan membawa dampak positif pada beberapa bidang, yakni: lingkungan, sosial, dan ekonomi. Tantangan dan hambatan dalam pengembangan Kampung Hijau Kota Yogyakarta terletak pada kepedulian masyarakat yang terkadang naik turun dan peran pemuda yang masih kurang sehingga menghambat proses regenerasi. Sinergi antara masyarakat dan pemerintah harus secara terbuka dan interaktif dalam mewujudkan ketahanan lingkungan di Kampung Gambiran. &quot;,&quot;publisher&quot;:&quot;Universitas Gadjah Mada&quot;,&quot;issue&quot;:&quot;1&quot;,&quot;volume&quot;:&quot;26&quot;,&quot;container-title-short&quot;:&quot;&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clYq26AO9OUGciUhH03gXBeAQQ==">CgMxLjAyCGguZ2pkZ3hzOAByITFBNWRDSXFycURKNjQxc0s2LWR1RGc1T19rcVk2NlpkLQ==</go:docsCustomData>
</go:gDocsCustomXmlDataStorage>
</file>

<file path=customXml/itemProps1.xml><?xml version="1.0" encoding="utf-8"?>
<ds:datastoreItem xmlns:ds="http://schemas.openxmlformats.org/officeDocument/2006/customXml" ds:itemID="{7A032423-AE6B-48B1-BB5F-5D795CD91B0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5409</Words>
  <Characters>30835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BKKKS 1</dc:creator>
  <cp:keywords/>
  <dc:description/>
  <cp:lastModifiedBy>bk3s DIY</cp:lastModifiedBy>
  <cp:revision>3</cp:revision>
  <cp:lastPrinted>2025-07-04T02:56:00Z</cp:lastPrinted>
  <dcterms:created xsi:type="dcterms:W3CDTF">2025-07-04T02:56:00Z</dcterms:created>
  <dcterms:modified xsi:type="dcterms:W3CDTF">2025-07-04T02:57:00Z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54cad576-1fa0-46f4-aa54-dfa90c2f5370</vt:lpwstr>
  </property>
</Properties>
</file>